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D5C4" w14:textId="08C04B1D" w:rsidR="002541AD" w:rsidRDefault="00901AA6">
      <w:pPr>
        <w:rPr>
          <w:rFonts w:ascii="Times New Roman" w:hAnsi="Times New Roman"/>
          <w:vanish/>
          <w:sz w:val="20"/>
          <w:szCs w:val="20"/>
        </w:rPr>
      </w:pPr>
      <w:r>
        <w:rPr>
          <w:rFonts w:ascii="Times New Roman" w:eastAsia="宋体" w:hAnsi="Times New Roman"/>
          <w:sz w:val="20"/>
          <w:szCs w:val="20"/>
        </w:rPr>
        <w:t xml:space="preserve"> </w:t>
      </w:r>
      <w:r>
        <w:rPr>
          <w:rFonts w:ascii="Times New Roman" w:eastAsia="宋体" w:hAnsi="Times New Roman"/>
          <w:vanish/>
          <w:sz w:val="20"/>
          <w:szCs w:val="20"/>
        </w:rPr>
        <w:t>false--12-26Q120202020-03-28000005086373321000000756860000000.630.6642900000004234000000429000000042340000000.00350.00080.02700.02400.03730.02450.03250.04100.04800.04000.03100.02700.02880.04100.03150.03250.02450.03300.04900.03700.02700.02350.01700.04100.02</w:t>
      </w:r>
      <w:r>
        <w:rPr>
          <w:rFonts w:ascii="Times New Roman" w:eastAsia="宋体" w:hAnsi="Times New Roman"/>
          <w:vanish/>
          <w:sz w:val="20"/>
          <w:szCs w:val="20"/>
        </w:rPr>
        <w:t>600.04250.04100.04000.01850.03100.03400.03750.03900.04600.04750.04950.05000.050012000000000 0000050863 2019-12-29 2020-03-28 0000050863 2020-03-28 0000050863 2018-12-30 2019-03-30 0000050863 2019-12-28 0000050863 2019-03-30 0000050863 2018-12-29 0000050863</w:t>
      </w:r>
      <w:r>
        <w:rPr>
          <w:rFonts w:ascii="Times New Roman" w:eastAsia="宋体" w:hAnsi="Times New Roman"/>
          <w:vanish/>
          <w:sz w:val="20"/>
          <w:szCs w:val="20"/>
        </w:rPr>
        <w:t xml:space="preserve"> us-gaap:CommonStockIncludingAdditionalPaidInCapitalMember 2019-12-29 2020-03-28 0000050863 us-gaap:AccumulatedOtherComprehensiveIncomeMember 2018-12-30 2019-03-30 0000050863 us-gaap:RetainedEarningsMember 2018-12-30 2019-03-30 0000050863 us-gaap:CommonSto</w:t>
      </w:r>
      <w:r>
        <w:rPr>
          <w:rFonts w:ascii="Times New Roman" w:eastAsia="宋体" w:hAnsi="Times New Roman"/>
          <w:vanish/>
          <w:sz w:val="20"/>
          <w:szCs w:val="20"/>
        </w:rPr>
        <w:t>ckIncludingAdditionalPaidInCapitalMember 2018-12-29 0000050863 us-gaap:RetainedEarningsMember 2019-12-29 2020-03-28 0000050863 us-gaap:CommonStockIncludingAdditionalPaidInCapitalMember 2020-03-28 0000050863 us-gaap:RetainedEarningsMember 2020-03-28 0000050</w:t>
      </w:r>
      <w:r>
        <w:rPr>
          <w:rFonts w:ascii="Times New Roman" w:eastAsia="宋体" w:hAnsi="Times New Roman"/>
          <w:vanish/>
          <w:sz w:val="20"/>
          <w:szCs w:val="20"/>
        </w:rPr>
        <w:t>863 us-gaap:CommonStockIncludingAdditionalPaidInCapitalMember 2018-12-30 2019-03-30 0000050863 us-gaap:AccumulatedOtherComprehensiveIncomeMember 2019-12-29 2020-03-28 0000050863 us-gaap:AccumulatedOtherComprehensiveIncomeMember 2019-03-30 0000050863 us-gaa</w:t>
      </w:r>
      <w:r>
        <w:rPr>
          <w:rFonts w:ascii="Times New Roman" w:eastAsia="宋体" w:hAnsi="Times New Roman"/>
          <w:vanish/>
          <w:sz w:val="20"/>
          <w:szCs w:val="20"/>
        </w:rPr>
        <w:t>p:CommonStockIncludingAdditionalPaidInCapitalMember 2019-03-30 0000050863 us-gaap:AccumulatedOtherComprehensiveIncomeMember 2018-12-29 0000050863 us-gaap:RetainedEarningsMember 2018-12-29 0000050863 us-gaap:RetainedEarningsMember 2019-03-30 0000050863 us-g</w:t>
      </w:r>
      <w:r>
        <w:rPr>
          <w:rFonts w:ascii="Times New Roman" w:eastAsia="宋体" w:hAnsi="Times New Roman"/>
          <w:vanish/>
          <w:sz w:val="20"/>
          <w:szCs w:val="20"/>
        </w:rPr>
        <w:t>aap:CommonStockIncludingAdditionalPaidInCapitalMember 2019-12-28 0000050863 us-gaap:AccumulatedOtherComprehensiveIncomeMember 2020-03-28 0000050863 us-gaap:AccumulatedOtherComprehensiveIncomeMember 2019-12-28 0000050863 us-gaap:RetainedEarningsMember 2019-</w:t>
      </w:r>
      <w:r>
        <w:rPr>
          <w:rFonts w:ascii="Times New Roman" w:eastAsia="宋体" w:hAnsi="Times New Roman"/>
          <w:vanish/>
          <w:sz w:val="20"/>
          <w:szCs w:val="20"/>
        </w:rPr>
        <w:t>12-28 0000050863 intc:DCGPlatformMember 2019-12-29 2020-03-28 0000050863 intc:OtherPlatformMember 2018-12-30 2019-03-30 0000050863 intc:IOTGPlatformMember 2018-12-30 2019-03-30 0000050863 intc:NotebookPlatformMember 2019-12-29 2020-03-28 0000050863 intc:Ot</w:t>
      </w:r>
      <w:r>
        <w:rPr>
          <w:rFonts w:ascii="Times New Roman" w:eastAsia="宋体" w:hAnsi="Times New Roman"/>
          <w:vanish/>
          <w:sz w:val="20"/>
          <w:szCs w:val="20"/>
        </w:rPr>
        <w:t>herProductOrServiceMember 2019-12-29 2020-03-28 0000050863 intc:DesktopPlatformMember 2018-12-30 2019-03-30 0000050863 intc:OtherPlatformMember 2019-12-29 2020-03-28 0000050863 intc:PlatformMember 2018-12-30 2019-03-30 0000050863 intc:IOTGPlatformMember 20</w:t>
      </w:r>
      <w:r>
        <w:rPr>
          <w:rFonts w:ascii="Times New Roman" w:eastAsia="宋体" w:hAnsi="Times New Roman"/>
          <w:vanish/>
          <w:sz w:val="20"/>
          <w:szCs w:val="20"/>
        </w:rPr>
        <w:t>19-12-29 2020-03-28 0000050863 intc:DesktopPlatformMember 2019-12-29 2020-03-28 0000050863 intc:DCGPlatformMember 2018-12-30 2019-03-30 0000050863 intc:PlatformMember 2019-12-29 2020-03-28 0000050863 intc:OtherProductOrServiceMember 2018-12-30 2019-03-30 0</w:t>
      </w:r>
      <w:r>
        <w:rPr>
          <w:rFonts w:ascii="Times New Roman" w:eastAsia="宋体" w:hAnsi="Times New Roman"/>
          <w:vanish/>
          <w:sz w:val="20"/>
          <w:szCs w:val="20"/>
        </w:rPr>
        <w:t>000050863 intc:NotebookPlatformMember 2018-12-30 2019-03-30 0000050863 intc:MobileyeMember 2019-12-29 2020-03-28 0000050863 intc:OtherProductOrServiceMember intc:DataCenterGroupMember 2019-12-29 2020-03-28 0000050863 intc:OtherProductOrServiceMember intc:C</w:t>
      </w:r>
      <w:r>
        <w:rPr>
          <w:rFonts w:ascii="Times New Roman" w:eastAsia="宋体" w:hAnsi="Times New Roman"/>
          <w:vanish/>
          <w:sz w:val="20"/>
          <w:szCs w:val="20"/>
        </w:rPr>
        <w:t>lientComputingGroupMember 2019-12-29 2020-03-28 0000050863 us-gaap:AllOtherSegmentsMember 2019-12-29 2020-03-28 0000050863 intc:PlatformMember intc:ClientComputingGroupMember 2019-12-29 2020-03-28 0000050863 intc:InternetofThingsMember 2019-12-29 2020-03-2</w:t>
      </w:r>
      <w:r>
        <w:rPr>
          <w:rFonts w:ascii="Times New Roman" w:eastAsia="宋体" w:hAnsi="Times New Roman"/>
          <w:vanish/>
          <w:sz w:val="20"/>
          <w:szCs w:val="20"/>
        </w:rPr>
        <w:t>8 0000050863 intc:ProgrammableSolutionsGroupMember 2018-12-30 2019-03-30 0000050863 intc:InternetOfThingsGroupMember 2019-12-29 2020-03-28 0000050863 intc:NonVolatileMemorySolutionsGroupMember 2018-12-30 2019-03-30 0000050863 intc:DataCenterGroupMember 201</w:t>
      </w:r>
      <w:r>
        <w:rPr>
          <w:rFonts w:ascii="Times New Roman" w:eastAsia="宋体" w:hAnsi="Times New Roman"/>
          <w:vanish/>
          <w:sz w:val="20"/>
          <w:szCs w:val="20"/>
        </w:rPr>
        <w:t>8-12-30 2019-03-30 0000050863 intc:DataCenterGroupMember 2019-12-29 2020-03-28 0000050863 intc:PlatformMember intc:ClientComputingGroupMember 2018-12-30 2019-03-30 0000050863 intc:InternetofThingsMember 2018-12-30 2019-03-30 0000050863 intc:ProgrammableSol</w:t>
      </w:r>
      <w:r>
        <w:rPr>
          <w:rFonts w:ascii="Times New Roman" w:eastAsia="宋体" w:hAnsi="Times New Roman"/>
          <w:vanish/>
          <w:sz w:val="20"/>
          <w:szCs w:val="20"/>
        </w:rPr>
        <w:t>utionsGroupMember 2019-12-29 2020-03-28 0000050863 intc:OtherProductOrServiceMember intc:DataCenterGroupMember 2018-12-30 2019-03-30 0000050863 intc:ClientComputingGroupMember 2018-12-30 2019-03-30 0000050863 intc:NonVolatileMemorySolutionsGroupMember 2019</w:t>
      </w:r>
      <w:r>
        <w:rPr>
          <w:rFonts w:ascii="Times New Roman" w:eastAsia="宋体" w:hAnsi="Times New Roman"/>
          <w:vanish/>
          <w:sz w:val="20"/>
          <w:szCs w:val="20"/>
        </w:rPr>
        <w:t>-12-29 2020-03-28 0000050863 us-gaap:AllOtherSegmentsMember 2018-12-30 2019-03-30 0000050863 intc:OtherProductOrServiceMember intc:ClientComputingGroupMember 2018-12-30 2019-03-30 0000050863 intc:MobileyeMember 2018-12-30 2019-03-30 0000050863 intc:ClientC</w:t>
      </w:r>
      <w:r>
        <w:rPr>
          <w:rFonts w:ascii="Times New Roman" w:eastAsia="宋体" w:hAnsi="Times New Roman"/>
          <w:vanish/>
          <w:sz w:val="20"/>
          <w:szCs w:val="20"/>
        </w:rPr>
        <w:t>omputingGroupMember 2019-12-29 2020-03-28 0000050863 intc:InternetOfThingsGroupMember 2018-12-30 2019-03-30 0000050863 intc:SoftwareServicesandOtherMember 2019-12-28 0000050863 intc:PrepaidSupplyAgreementsMember 2019-12-28 0000050863 intc:SoftwareServicesa</w:t>
      </w:r>
      <w:r>
        <w:rPr>
          <w:rFonts w:ascii="Times New Roman" w:eastAsia="宋体" w:hAnsi="Times New Roman"/>
          <w:vanish/>
          <w:sz w:val="20"/>
          <w:szCs w:val="20"/>
        </w:rPr>
        <w:t>ndOtherMember 2020-03-28 0000050863 intc:PrepaidSupplyAgreementsMember 2020-03-28 0000050863 intc:PrepaidSupplyAgreementsMember 2019-12-29 2020-03-28 0000050863 intc:A2020RestructuringProgramMember 2019-12-29 2020-03-28 0000050863 intc:ImFlashTechnologiesL</w:t>
      </w:r>
      <w:r>
        <w:rPr>
          <w:rFonts w:ascii="Times New Roman" w:eastAsia="宋体" w:hAnsi="Times New Roman"/>
          <w:vanish/>
          <w:sz w:val="20"/>
          <w:szCs w:val="20"/>
        </w:rPr>
        <w:t>lcMember 2019-03-30 0000050863 us-gaap:DebtSecuritiesMember 2019-12-29 2020-03-28 0000050863 us-gaap:DebtSecuritiesMember 2018-12-30 2019-03-30 0000050863 us-gaap:CorporateDebtSecuritiesMember 2019-12-28 0000050863 us-gaap:FixedIncomeSecuritiesMember 2020-</w:t>
      </w:r>
      <w:r>
        <w:rPr>
          <w:rFonts w:ascii="Times New Roman" w:eastAsia="宋体" w:hAnsi="Times New Roman"/>
          <w:vanish/>
          <w:sz w:val="20"/>
          <w:szCs w:val="20"/>
        </w:rPr>
        <w:t>03-28 0000050863 us-gaap:CorporateDebtSecuritiesMember 2020-03-28 0000050863 us-gaap:FixedIncomeSecuritiesMember 2019-12-28 0000050863 intc:GovernmentDebtSecuritiesMember 2019-12-28 0000050863 intc:GovernmentDebtSecuritiesMember 2020-03-28 0000050863 intc:</w:t>
      </w:r>
      <w:r>
        <w:rPr>
          <w:rFonts w:ascii="Times New Roman" w:eastAsia="宋体" w:hAnsi="Times New Roman"/>
          <w:vanish/>
          <w:sz w:val="20"/>
          <w:szCs w:val="20"/>
        </w:rPr>
        <w:t>DebtInstrumentTwentyThreeMember us-gaap:CrossCurrencyInterestRateContractMember 2020-03-28 0000050863 us-gaap:SeniorNotesMember 2020-03-28 0000050863 intc:ConvertibleDebentures2009Member us-gaap:ConvertibleDebtMember 2019-11-01 2019-11-30 0000050863 us-gaa</w:t>
      </w:r>
      <w:r>
        <w:rPr>
          <w:rFonts w:ascii="Times New Roman" w:eastAsia="宋体" w:hAnsi="Times New Roman"/>
          <w:vanish/>
          <w:sz w:val="20"/>
          <w:szCs w:val="20"/>
        </w:rPr>
        <w:t xml:space="preserve">p:CommercialPaperMember 2020-03-28 0000050863 intc:FixedrateSeniorNotes4.60dueMarch2040Member 2020-03-28 0000050863 intc:FixedrateSeniorNotes3.90dueMarch2030Member 2019-12-28 0000050863 intc:FixedrateSeniorNotes4.95dueMarch2060Member 2020-03-28 0000050863 </w:t>
      </w:r>
      <w:r>
        <w:rPr>
          <w:rFonts w:ascii="Times New Roman" w:eastAsia="宋体" w:hAnsi="Times New Roman"/>
          <w:vanish/>
          <w:sz w:val="20"/>
          <w:szCs w:val="20"/>
        </w:rPr>
        <w:t>intc:FixedrateSeniorNotes3.10dueFebruary2060Member 2020-03-28 0000050863 us-gaap:InterestRateSwapMember us-gaap:FairValueHedgingMember 2019-12-29 2020-03-28 0000050863 intc:DebtInstrumentFortyTwoMember 2019-12-28 0000050863 intc:DebtInstrumentFortyMember 2</w:t>
      </w:r>
      <w:r>
        <w:rPr>
          <w:rFonts w:ascii="Times New Roman" w:eastAsia="宋体" w:hAnsi="Times New Roman"/>
          <w:vanish/>
          <w:sz w:val="20"/>
          <w:szCs w:val="20"/>
        </w:rPr>
        <w:t>020-03-28 0000050863 intc:DebtInstrumentThirtyNineMember 2019-12-28 0000050863 intc:DebtInstrumentThirtyNineMember 2020-03-28 0000050863 intc:DebtInstrumentFortyOneMember 2019-12-28 0000050863 intc:DebtInstrumentThirtyTwoMember 2020-03-28 0000050863 intc:F</w:t>
      </w:r>
      <w:r>
        <w:rPr>
          <w:rFonts w:ascii="Times New Roman" w:eastAsia="宋体" w:hAnsi="Times New Roman"/>
          <w:vanish/>
          <w:sz w:val="20"/>
          <w:szCs w:val="20"/>
        </w:rPr>
        <w:t>ixedrateSeniorNotes4.75dueMarch2050Member 2020-03-28 0000050863 intc:A6404.10SeniorNotesdueAugust2047Member 2020-03-28 0000050863 intc:DebtInstrumentEightMember 2019-12-28 0000050863 intc:DebtinstrumentThirtySevenMember 2019-12-28 0000050863 intc:DebtInstr</w:t>
      </w:r>
      <w:r>
        <w:rPr>
          <w:rFonts w:ascii="Times New Roman" w:eastAsia="宋体" w:hAnsi="Times New Roman"/>
          <w:vanish/>
          <w:sz w:val="20"/>
          <w:szCs w:val="20"/>
        </w:rPr>
        <w:t>umentTenMember 2020-03-28 0000050863 intc:DebtInstrumentFourteenMember 2019-12-28 0000050863 intc:DebtInstrumentEightMember 2020-03-28 0000050863 intc:DebtInstrumentThirtyTwoMember 2019-12-28 0000050863 intc:DebtInstrumentFourteenMember 2020-03-28 00000508</w:t>
      </w:r>
      <w:r>
        <w:rPr>
          <w:rFonts w:ascii="Times New Roman" w:eastAsia="宋体" w:hAnsi="Times New Roman"/>
          <w:vanish/>
          <w:sz w:val="20"/>
          <w:szCs w:val="20"/>
        </w:rPr>
        <w:t>63 intc:FixedrateSeniorNotes3.75dueMarch2027Member 2020-03-28 0000050863 intc:DebtInstrumentFortyFourMember 2020-03-28 0000050863 intc:DebtInstrumentThirtyOneMember 2020-03-28 0000050863 intc:DebtInstrumentFortyThreeMember 2020-03-28 0000050863 intc:DebtIn</w:t>
      </w:r>
      <w:r>
        <w:rPr>
          <w:rFonts w:ascii="Times New Roman" w:eastAsia="宋体" w:hAnsi="Times New Roman"/>
          <w:vanish/>
          <w:sz w:val="20"/>
          <w:szCs w:val="20"/>
        </w:rPr>
        <w:t>strumentSixteenMember 2019-12-28 0000050863 intc:DebtInstrumentFourMember 2020-03-28 0000050863 intc:DebtInstrumentFortyThreeMember 2019-12-28 0000050863 intc:A2019SeniorNotesdueDecember2029at2.45Member 2020-03-28 0000050863 intc:DebtinstrumentThirtySevenM</w:t>
      </w:r>
      <w:r>
        <w:rPr>
          <w:rFonts w:ascii="Times New Roman" w:eastAsia="宋体" w:hAnsi="Times New Roman"/>
          <w:vanish/>
          <w:sz w:val="20"/>
          <w:szCs w:val="20"/>
        </w:rPr>
        <w:t>ember 2020-03-28 0000050863 intc:DebtInstrumentFortyFourMember 2019-12-28 0000050863 intc:FixedrateSeniorNotes3.40dueMarch2025Member 2020-03-28 0000050863 intc:A6404.10SeniorNotesdueAugust2047Member 2019-12-28 0000050863 intc:OregonandArizonaBondsMember 20</w:t>
      </w:r>
      <w:r>
        <w:rPr>
          <w:rFonts w:ascii="Times New Roman" w:eastAsia="宋体" w:hAnsi="Times New Roman"/>
          <w:vanish/>
          <w:sz w:val="20"/>
          <w:szCs w:val="20"/>
        </w:rPr>
        <w:t>19-12-28 0000050863 intc:OregonandArizonaBondsMember 2020-03-28 0000050863 intc:DebtInstrumentFortyTwoMember 2020-03-28 0000050863 intc:DebtInstrumentFortyMember 2019-12-28 0000050863 intc:DebtInstrumentFourMember 2019-12-28 0000050863 intc:IndustrialAutho</w:t>
      </w:r>
      <w:r>
        <w:rPr>
          <w:rFonts w:ascii="Times New Roman" w:eastAsia="宋体" w:hAnsi="Times New Roman"/>
          <w:vanish/>
          <w:sz w:val="20"/>
          <w:szCs w:val="20"/>
        </w:rPr>
        <w:t>rityoftheCityofChandlerArizonaMember 2020-03-28 0000050863 intc:DebtInstrumentSevenMember 2019-12-28 0000050863 intc:IndustrialAuthorityoftheCityofChandlerArizonaMember 2019-12-28 0000050863 intc:DebtInstrumentThirtyEightMember 2020-03-28 0000050863 intc:D</w:t>
      </w:r>
      <w:r>
        <w:rPr>
          <w:rFonts w:ascii="Times New Roman" w:eastAsia="宋体" w:hAnsi="Times New Roman"/>
          <w:vanish/>
          <w:sz w:val="20"/>
          <w:szCs w:val="20"/>
        </w:rPr>
        <w:t xml:space="preserve">ebtInstrumentThirtyThreeMember 2020-03-28 0000050863 intc:FixedrateSeniorNotes4.60dueMarch2040Member 2019-12-28 0000050863 intc:A2017SeniornotesdueDecember2047at3.73Member 2020-03-28 0000050863 us-gaap:InterestRateSwapMember us-gaap:FairValueHedgingMember </w:t>
      </w:r>
      <w:r>
        <w:rPr>
          <w:rFonts w:ascii="Times New Roman" w:eastAsia="宋体" w:hAnsi="Times New Roman"/>
          <w:vanish/>
          <w:sz w:val="20"/>
          <w:szCs w:val="20"/>
        </w:rPr>
        <w:t>2018-12-30 2019-12-28 0000050863 intc:DebtInstrumentThirtyEightMember 2019-12-28 0000050863 intc:DebtInstrumentThirtyThreeMember 2019-12-28 0000050863 intc:DebtInstrumentTwentyThreeMember 2020-03-28 0000050863 intc:DebtInstrumentElevenMember 2020-03-28 000</w:t>
      </w:r>
      <w:r>
        <w:rPr>
          <w:rFonts w:ascii="Times New Roman" w:eastAsia="宋体" w:hAnsi="Times New Roman"/>
          <w:vanish/>
          <w:sz w:val="20"/>
          <w:szCs w:val="20"/>
        </w:rPr>
        <w:t>0050863 intc:DebtInstrumentFifteenMember 2020-03-28 0000050863 intc:DebtInstrumentSeventeenMember 2020-03-28 0000050863 intc:FixedrateSeniorNotes3.90dueMarch2030Member 2020-03-28 0000050863 intc:DebtInstrumentThirtyOneMember 2019-12-28 0000050863 intc:Debt</w:t>
      </w:r>
      <w:r>
        <w:rPr>
          <w:rFonts w:ascii="Times New Roman" w:eastAsia="宋体" w:hAnsi="Times New Roman"/>
          <w:vanish/>
          <w:sz w:val="20"/>
          <w:szCs w:val="20"/>
        </w:rPr>
        <w:t>InstrumentTwentyNineMember 2019-12-28 0000050863 intc:DebtInstrumentTenMember 2019-12-28 0000050863 intc:DebtInstrumentTwelveMember 2020-03-28 0000050863 intc:StateofOregonBusinessDevelopmentCommissionMember 2019-12-28 0000050863 intc:DebtInstrumentTwentyN</w:t>
      </w:r>
      <w:r>
        <w:rPr>
          <w:rFonts w:ascii="Times New Roman" w:eastAsia="宋体" w:hAnsi="Times New Roman"/>
          <w:vanish/>
          <w:sz w:val="20"/>
          <w:szCs w:val="20"/>
        </w:rPr>
        <w:t>ineMember 2020-03-28 0000050863 intc:DebtInstrumentSevenMember 2020-03-28 0000050863 intc:DebtInstrumentSixteenMember 2020-03-28 0000050863 intc:FixedrateSeniorNotes4.75dueMarch2050Member 2019-12-28 0000050863 intc:A2019SeniorNotesdueDecember2049at3.25Memb</w:t>
      </w:r>
      <w:r>
        <w:rPr>
          <w:rFonts w:ascii="Times New Roman" w:eastAsia="宋体" w:hAnsi="Times New Roman"/>
          <w:vanish/>
          <w:sz w:val="20"/>
          <w:szCs w:val="20"/>
        </w:rPr>
        <w:t>er 2020-03-28 0000050863 intc:A2019SeniorNotesdueDecember2049at3.25Member 2019-12-28 0000050863 intc:A2019SeniorNotesdueDecember2029at2.45Member 2019-12-28 0000050863 intc:DebtInstrumentFifteenMember 2019-12-28 0000050863 intc:FixedrateSeniorNotes3.40dueMa</w:t>
      </w:r>
      <w:r>
        <w:rPr>
          <w:rFonts w:ascii="Times New Roman" w:eastAsia="宋体" w:hAnsi="Times New Roman"/>
          <w:vanish/>
          <w:sz w:val="20"/>
          <w:szCs w:val="20"/>
        </w:rPr>
        <w:t>rch2025Member 2019-12-28 0000050863 intc:FixedrateSeniorNotes3.75dueMarch2027Member 2019-12-28 0000050863 intc:DebtInstrumentTwelveMember 2019-12-28 0000050863 intc:DebtInstrumentFortyOneMember 2020-03-28 0000050863 intc:StateofOregonBusinessDevelopmentCom</w:t>
      </w:r>
      <w:r>
        <w:rPr>
          <w:rFonts w:ascii="Times New Roman" w:eastAsia="宋体" w:hAnsi="Times New Roman"/>
          <w:vanish/>
          <w:sz w:val="20"/>
          <w:szCs w:val="20"/>
        </w:rPr>
        <w:t>missionMember 2020-03-28 0000050863 intc:DebtInstrumentSeventeenMember 2019-12-28 0000050863 intc:DebtInstrumentTwentyThreeMember 2019-12-28 0000050863 intc:DebtInstrumentElevenMember 2019-12-28 0000050863 intc:FixedrateSeniorNotes4.95dueMarch2060Member 20</w:t>
      </w:r>
      <w:r>
        <w:rPr>
          <w:rFonts w:ascii="Times New Roman" w:eastAsia="宋体" w:hAnsi="Times New Roman"/>
          <w:vanish/>
          <w:sz w:val="20"/>
          <w:szCs w:val="20"/>
        </w:rPr>
        <w:t>19-12-28 0000050863 intc:FixedrateSeniorNotes3.10dueFebruary2060Member 2019-12-28 0000050863 intc:A2017SeniornotesdueDecember2047at3.73Member 2019-12-28 0000050863 srt:MaximumMember intc:OregonandArizonaBondsMember 2020-03-28 0000050863 intc:DebtInstrument</w:t>
      </w:r>
      <w:r>
        <w:rPr>
          <w:rFonts w:ascii="Times New Roman" w:eastAsia="宋体" w:hAnsi="Times New Roman"/>
          <w:vanish/>
          <w:sz w:val="20"/>
          <w:szCs w:val="20"/>
        </w:rPr>
        <w:t>ThirtyEightMember us-gaap:LondonInterbankOfferedRateLIBORMember 2019-12-29 2020-03-28 0000050863 srt:MinimumMember intc:OregonandArizonaBondsMember 2020-03-28 0000050863 intc:DebtInstrumentFortyMember us-gaap:LondonInterbankOfferedRateLIBORMember 2019-12-2</w:t>
      </w:r>
      <w:r>
        <w:rPr>
          <w:rFonts w:ascii="Times New Roman" w:eastAsia="宋体" w:hAnsi="Times New Roman"/>
          <w:vanish/>
          <w:sz w:val="20"/>
          <w:szCs w:val="20"/>
        </w:rPr>
        <w:t>9 2020-03-28 0000050863 us-gaap:FairValueMeasurementsNonrecurringMember 2020-03-28 0000050863 us-gaap:FairValueMeasurementsNonrecurringMember 2019-12-28 0000050863 us-gaap:CashEquivalentsMember us-gaap:FairValueInputsLevel2Member us-gaap:FairValueMeasureme</w:t>
      </w:r>
      <w:r>
        <w:rPr>
          <w:rFonts w:ascii="Times New Roman" w:eastAsia="宋体" w:hAnsi="Times New Roman"/>
          <w:vanish/>
          <w:sz w:val="20"/>
          <w:szCs w:val="20"/>
        </w:rPr>
        <w:t>ntsRecurringMember 2020-03-28 0000050863 intc:GovernmentDebtSecuritiesMember us-gaap:FairValueInputsLevel1Member us-gaap:FairValueMeasurementsRecurringMember 2019-12-28 0000050863 us-gaap:ShortTermInvestmentsMember us-gaap:FixedIncomeSecuritiesMember us-ga</w:t>
      </w:r>
      <w:r>
        <w:rPr>
          <w:rFonts w:ascii="Times New Roman" w:eastAsia="宋体" w:hAnsi="Times New Roman"/>
          <w:vanish/>
          <w:sz w:val="20"/>
          <w:szCs w:val="20"/>
        </w:rPr>
        <w:t>ap:FairValueInputsLevel1Member us-gaap:FairValueMeasurementsRecurringMember 2020-03-28 0000050863 us-gaap:ShortTermInvestmentsMember intc:GovernmentDebtSecuritiesMember us-gaap:FairValueInputsLevel3Member us-gaap:FairValueMeasurementsRecurringMember 2019-1</w:t>
      </w:r>
      <w:r>
        <w:rPr>
          <w:rFonts w:ascii="Times New Roman" w:eastAsia="宋体" w:hAnsi="Times New Roman"/>
          <w:vanish/>
          <w:sz w:val="20"/>
          <w:szCs w:val="20"/>
        </w:rPr>
        <w:t>2-28 0000050863 us-gaap:OtherLongTermInvestmentsMember intc:GovernmentDebtSecuritiesMember us-gaap:FairValueInputsLevel1Member us-gaap:FairValueMeasurementsRecurringMember 2020-03-28 0000050863 us-gaap:ShortTermInvestmentsMember us-gaap:CorporateDebtSecuri</w:t>
      </w:r>
      <w:r>
        <w:rPr>
          <w:rFonts w:ascii="Times New Roman" w:eastAsia="宋体" w:hAnsi="Times New Roman"/>
          <w:vanish/>
          <w:sz w:val="20"/>
          <w:szCs w:val="20"/>
        </w:rPr>
        <w:t>tiesMember us-gaap:FairValueMeasurementsRecurringMember 2020-03-28 0000050863 us-gaap:OtherNoncurrentAssetsMember us-gaap:FairValueInputsLevel2Member us-gaap:FairValueMeasurementsRecurringMember 2020-03-28 0000050863 us-gaap:OtherNoncurrentLiabilitiesMembe</w:t>
      </w:r>
      <w:r>
        <w:rPr>
          <w:rFonts w:ascii="Times New Roman" w:eastAsia="宋体" w:hAnsi="Times New Roman"/>
          <w:vanish/>
          <w:sz w:val="20"/>
          <w:szCs w:val="20"/>
        </w:rPr>
        <w:t>r us-gaap:FairValueInputsLevel2Member us-gaap:FairValueMeasurementsRecurringMember 2019-12-28 0000050863 us-gaap:CorporateDebtSecuritiesMember us-gaap:FairValueInputsLevel2Member us-gaap:FairValueMeasurementsRecurringMember 2020-03-28 0000050863 us-gaap:Sh</w:t>
      </w:r>
      <w:r>
        <w:rPr>
          <w:rFonts w:ascii="Times New Roman" w:eastAsia="宋体" w:hAnsi="Times New Roman"/>
          <w:vanish/>
          <w:sz w:val="20"/>
          <w:szCs w:val="20"/>
        </w:rPr>
        <w:t>ortTermInvestmentsMember us-gaap:FixedIncomeSecuritiesMember us-gaap:FairValueInputsLevel2Member us-gaap:FairValueMeasurementsRecurringMember 2020-03-28 0000050863 us-gaap:OtherCurrentAssetsMember us-gaap:FairValueInputsLevel3Member us-gaap:FairValueMeasur</w:t>
      </w:r>
      <w:r>
        <w:rPr>
          <w:rFonts w:ascii="Times New Roman" w:eastAsia="宋体" w:hAnsi="Times New Roman"/>
          <w:vanish/>
          <w:sz w:val="20"/>
          <w:szCs w:val="20"/>
        </w:rPr>
        <w:t>ementsRecurringMember 2020-03-28 0000050863 us-gaap:FairValueInputsLevel2Member us-gaap:FairValueMeasurementsRecurringMember 2020-03-28 0000050863 us-gaap:CashEquivalentsMember us-gaap:CorporateDebtSecuritiesMember us-gaap:FairValueInputsLevel3Member us-ga</w:t>
      </w:r>
      <w:r>
        <w:rPr>
          <w:rFonts w:ascii="Times New Roman" w:eastAsia="宋体" w:hAnsi="Times New Roman"/>
          <w:vanish/>
          <w:sz w:val="20"/>
          <w:szCs w:val="20"/>
        </w:rPr>
        <w:t>ap:FairValueMeasurementsRecurringMember 2020-03-28 0000050863 us-gaap:OtherLongTermInvestmentsMember intc:GovernmentDebtSecuritiesMember us-gaap:FairValueInputsLevel2Member us-gaap:FairValueMeasurementsRecurringMember 2019-12-28 0000050863 us-gaap:EquitySe</w:t>
      </w:r>
      <w:r>
        <w:rPr>
          <w:rFonts w:ascii="Times New Roman" w:eastAsia="宋体" w:hAnsi="Times New Roman"/>
          <w:vanish/>
          <w:sz w:val="20"/>
          <w:szCs w:val="20"/>
        </w:rPr>
        <w:t>curitiesMember us-gaap:FairValueInputsLevel2Member us-gaap:FairValueMeasurementsRecurringMember 2019-12-28 0000050863 us-gaap:CorporateDebtSecuritiesMember us-gaap:FairValueInputsLevel1Member us-gaap:FairValueMeasurementsRecurringMember 2019-12-28 00000508</w:t>
      </w:r>
      <w:r>
        <w:rPr>
          <w:rFonts w:ascii="Times New Roman" w:eastAsia="宋体" w:hAnsi="Times New Roman"/>
          <w:vanish/>
          <w:sz w:val="20"/>
          <w:szCs w:val="20"/>
        </w:rPr>
        <w:t>63 us-gaap:ShortTermInvestmentsMember intc:GovernmentDebtSecuritiesMember us-gaap:FairValueInputsLevel2Member us-gaap:FairValueMeasurementsRecurringMember 2019-12-28 0000050863 us-gaap:OtherNoncurrentAssetsMember us-gaap:FairValueMeasurementsRecurringMembe</w:t>
      </w:r>
      <w:r>
        <w:rPr>
          <w:rFonts w:ascii="Times New Roman" w:eastAsia="宋体" w:hAnsi="Times New Roman"/>
          <w:vanish/>
          <w:sz w:val="20"/>
          <w:szCs w:val="20"/>
        </w:rPr>
        <w:t>r 2020-03-28 0000050863 us-gaap:ShortTermInvestmentsMember us-gaap:FixedIncomeSecuritiesMember us-gaap:FairValueMeasurementsRecurringMember 2019-12-28 0000050863 us-gaap:CashEquivalentsMember us-gaap:CorporateDebtSecuritiesMember us-gaap:FairValueInputsLev</w:t>
      </w:r>
      <w:r>
        <w:rPr>
          <w:rFonts w:ascii="Times New Roman" w:eastAsia="宋体" w:hAnsi="Times New Roman"/>
          <w:vanish/>
          <w:sz w:val="20"/>
          <w:szCs w:val="20"/>
        </w:rPr>
        <w:t>el1Member us-gaap:FairValueMeasurementsRecurringMember 2019-12-28 0000050863 us-gaap:CashEquivalentsMember us-gaap:CorporateDebtSecuritiesMember us-gaap:FairValueMeasurementsRecurringMember 2020-03-28 0000050863 us-gaap:CorporateDebtSecuritiesMember us-gaa</w:t>
      </w:r>
      <w:r>
        <w:rPr>
          <w:rFonts w:ascii="Times New Roman" w:eastAsia="宋体" w:hAnsi="Times New Roman"/>
          <w:vanish/>
          <w:sz w:val="20"/>
          <w:szCs w:val="20"/>
        </w:rPr>
        <w:t>p:FairValueInputsLevel3Member us-gaap:FairValueMeasurementsRecurringMember 2020-03-28 0000050863 us-gaap:OtherLongTermInvestmentsMember us-gaap:FixedIncomeSecuritiesMember us-gaap:FairValueInputsLevel2Member us-gaap:FairValueMeasurementsRecurringMember 202</w:t>
      </w:r>
      <w:r>
        <w:rPr>
          <w:rFonts w:ascii="Times New Roman" w:eastAsia="宋体" w:hAnsi="Times New Roman"/>
          <w:vanish/>
          <w:sz w:val="20"/>
          <w:szCs w:val="20"/>
        </w:rPr>
        <w:t>0-03-28 0000050863 us-gaap:ShortTermInvestmentsMember intc:GovernmentDebtSecuritiesMember us-gaap:FairValueInputsLevel2Member us-gaap:FairValueMeasurementsRecurringMember 2020-03-28 0000050863 us-gaap:ShortTermInvestmentsMember intc:GovernmentDebtSecuritie</w:t>
      </w:r>
      <w:r>
        <w:rPr>
          <w:rFonts w:ascii="Times New Roman" w:eastAsia="宋体" w:hAnsi="Times New Roman"/>
          <w:vanish/>
          <w:sz w:val="20"/>
          <w:szCs w:val="20"/>
        </w:rPr>
        <w:t>sMember us-gaap:FairValueInputsLevel1Member us-gaap:FairValueMeasurementsRecurringMember 2020-03-28 0000050863 us-gaap:FairValueMeasurementsRecurringMember 2020-03-28 0000050863 us-gaap:EquitySecuritiesMember us-gaap:FairValueMeasurementsRecurringMember 20</w:t>
      </w:r>
      <w:r>
        <w:rPr>
          <w:rFonts w:ascii="Times New Roman" w:eastAsia="宋体" w:hAnsi="Times New Roman"/>
          <w:vanish/>
          <w:sz w:val="20"/>
          <w:szCs w:val="20"/>
        </w:rPr>
        <w:t>20-03-28 0000050863 us-gaap:ShortTermInvestmentsMember us-gaap:CorporateDebtSecuritiesMember us-gaap:FairValueInputsLevel1Member us-gaap:FairValueMeasurementsRecurringMember 2020-03-28 0000050863 us-gaap:OtherNoncurrentAssetsMember us-gaap:FairValueInputsL</w:t>
      </w:r>
      <w:r>
        <w:rPr>
          <w:rFonts w:ascii="Times New Roman" w:eastAsia="宋体" w:hAnsi="Times New Roman"/>
          <w:vanish/>
          <w:sz w:val="20"/>
          <w:szCs w:val="20"/>
        </w:rPr>
        <w:t xml:space="preserve">evel1Member us-gaap:FairValueMeasurementsRecurringMember 2019-12-28 0000050863 us-gaap:OtherNoncurrentLiabilitiesMember us-gaap:FairValueInputsLevel2Member us-gaap:FairValueMeasurementsRecurringMember 2020-03-28 0000050863 us-gaap:OtherCurrentAssetsMember </w:t>
      </w:r>
      <w:r>
        <w:rPr>
          <w:rFonts w:ascii="Times New Roman" w:eastAsia="宋体" w:hAnsi="Times New Roman"/>
          <w:vanish/>
          <w:sz w:val="20"/>
          <w:szCs w:val="20"/>
        </w:rPr>
        <w:t>us-gaap:FairValueInputsLevel2Member us-gaap:FairValueMeasurementsRecurringMember 2020-03-28 0000050863 us-gaap:OtherCurrentLiabilitiesMember us-gaap:FairValueMeasurementsRecurringMember 2020-03-28 0000050863 us-gaap:OtherCurrentAssetsMember us-gaap:FairVal</w:t>
      </w:r>
      <w:r>
        <w:rPr>
          <w:rFonts w:ascii="Times New Roman" w:eastAsia="宋体" w:hAnsi="Times New Roman"/>
          <w:vanish/>
          <w:sz w:val="20"/>
          <w:szCs w:val="20"/>
        </w:rPr>
        <w:t>ueMeasurementsRecurringMember 2019-12-28 0000050863 us-gaap:CashEquivalentsMember intc:GovernmentDebtSecuritiesMember us-gaap:FairValueInputsLevel2Member us-gaap:FairValueMeasurementsRecurringMember 2019-12-28 0000050863 us-gaap:CashEquivalentsMember us-ga</w:t>
      </w:r>
      <w:r>
        <w:rPr>
          <w:rFonts w:ascii="Times New Roman" w:eastAsia="宋体" w:hAnsi="Times New Roman"/>
          <w:vanish/>
          <w:sz w:val="20"/>
          <w:szCs w:val="20"/>
        </w:rPr>
        <w:t>ap:FixedIncomeSecuritiesMember us-gaap:FairValueMeasurementsRecurringMember 2020-03-28 0000050863 us-gaap:CashEquivalentsMember intc:GovernmentDebtSecuritiesMember us-gaap:FairValueMeasurementsRecurringMember 2020-03-28 0000050863 us-gaap:CashEquivalentsMe</w:t>
      </w:r>
      <w:r>
        <w:rPr>
          <w:rFonts w:ascii="Times New Roman" w:eastAsia="宋体" w:hAnsi="Times New Roman"/>
          <w:vanish/>
          <w:sz w:val="20"/>
          <w:szCs w:val="20"/>
        </w:rPr>
        <w:t>mber us-gaap:FixedIncomeSecuritiesMember us-gaap:FairValueInputsLevel3Member us-gaap:FairValueMeasurementsRecurringMember 2020-03-28 0000050863 us-gaap:OtherNoncurrentLiabilitiesMember us-gaap:FairValueMeasurementsRecurringMember 2019-12-28 0000050863 us-g</w:t>
      </w:r>
      <w:r>
        <w:rPr>
          <w:rFonts w:ascii="Times New Roman" w:eastAsia="宋体" w:hAnsi="Times New Roman"/>
          <w:vanish/>
          <w:sz w:val="20"/>
          <w:szCs w:val="20"/>
        </w:rPr>
        <w:t>aap:CashEquivalentsMember us-gaap:FairValueInputsLevel3Member us-gaap:FairValueMeasurementsRecurringMember 2019-12-28 0000050863 us-gaap:OtherCurrentLiabilitiesMember us-gaap:FairValueInputsLevel2Member us-gaap:FairValueMeasurementsRecurringMember 2020-03-</w:t>
      </w:r>
      <w:r>
        <w:rPr>
          <w:rFonts w:ascii="Times New Roman" w:eastAsia="宋体" w:hAnsi="Times New Roman"/>
          <w:vanish/>
          <w:sz w:val="20"/>
          <w:szCs w:val="20"/>
        </w:rPr>
        <w:t>28 0000050863 us-gaap:OtherLongTermInvestmentsMember us-gaap:CorporateDebtSecuritiesMember us-gaap:FairValueInputsLevel1Member us-gaap:FairValueMeasurementsRecurringMember 2019-12-28 0000050863 us-gaap:FairValueInputsLevel3Member us-gaap:FairValueMeasureme</w:t>
      </w:r>
      <w:r>
        <w:rPr>
          <w:rFonts w:ascii="Times New Roman" w:eastAsia="宋体" w:hAnsi="Times New Roman"/>
          <w:vanish/>
          <w:sz w:val="20"/>
          <w:szCs w:val="20"/>
        </w:rPr>
        <w:t>ntsRecurringMember 2020-03-28 0000050863 us-gaap:OtherNoncurrentAssetsMember us-gaap:FairValueInputsLevel1Member us-gaap:FairValueMeasurementsRecurringMember 2020-03-28 0000050863 intc:GovernmentDebtSecuritiesMember us-gaap:FairValueInputsLevel1Member us-g</w:t>
      </w:r>
      <w:r>
        <w:rPr>
          <w:rFonts w:ascii="Times New Roman" w:eastAsia="宋体" w:hAnsi="Times New Roman"/>
          <w:vanish/>
          <w:sz w:val="20"/>
          <w:szCs w:val="20"/>
        </w:rPr>
        <w:t>aap:FairValueMeasurementsRecurringMember 2020-03-28 0000050863 us-gaap:ShortTermInvestmentsMember us-gaap:CorporateDebtSecuritiesMember us-gaap:FairValueMeasurementsRecurringMember 2019-12-28 0000050863 us-gaap:FairValueMeasurementsRecurringMember 2019-12-</w:t>
      </w:r>
      <w:r>
        <w:rPr>
          <w:rFonts w:ascii="Times New Roman" w:eastAsia="宋体" w:hAnsi="Times New Roman"/>
          <w:vanish/>
          <w:sz w:val="20"/>
          <w:szCs w:val="20"/>
        </w:rPr>
        <w:t>28 0000050863 us-gaap:OtherLongTermInvestmentsMember us-gaap:CorporateDebtSecuritiesMember us-gaap:FairValueInputsLevel3Member us-gaap:FairValueMeasurementsRecurringMember 2020-03-28 0000050863 us-gaap:FairValueInputsLevel1Member us-gaap:FairValueMeasureme</w:t>
      </w:r>
      <w:r>
        <w:rPr>
          <w:rFonts w:ascii="Times New Roman" w:eastAsia="宋体" w:hAnsi="Times New Roman"/>
          <w:vanish/>
          <w:sz w:val="20"/>
          <w:szCs w:val="20"/>
        </w:rPr>
        <w:t>ntsRecurringMember 2020-03-28 0000050863 us-gaap:OtherNoncurrentLiabilitiesMember us-gaap:FairValueInputsLevel3Member us-gaap:FairValueMeasurementsRecurringMember 2019-12-28 0000050863 us-gaap:OtherCurrentAssetsMember us-gaap:FairValueInputsLevel3Member us</w:t>
      </w:r>
      <w:r>
        <w:rPr>
          <w:rFonts w:ascii="Times New Roman" w:eastAsia="宋体" w:hAnsi="Times New Roman"/>
          <w:vanish/>
          <w:sz w:val="20"/>
          <w:szCs w:val="20"/>
        </w:rPr>
        <w:t>-gaap:FairValueMeasurementsRecurringMember 2019-12-28 0000050863 intc:GovernmentDebtSecuritiesMember us-gaap:FairValueInputsLevel3Member us-gaap:FairValueMeasurementsRecurringMember 2020-03-28 0000050863 us-gaap:OtherNoncurrentAssetsMember us-gaap:FairValu</w:t>
      </w:r>
      <w:r>
        <w:rPr>
          <w:rFonts w:ascii="Times New Roman" w:eastAsia="宋体" w:hAnsi="Times New Roman"/>
          <w:vanish/>
          <w:sz w:val="20"/>
          <w:szCs w:val="20"/>
        </w:rPr>
        <w:t xml:space="preserve">eInputsLevel3Member us-gaap:FairValueMeasurementsRecurringMember 2019-12-28 0000050863 us-gaap:OtherLongTermInvestmentsMember us-gaap:CorporateDebtSecuritiesMember us-gaap:FairValueInputsLevel1Member us-gaap:FairValueMeasurementsRecurringMember 2020-03-28 </w:t>
      </w:r>
      <w:r>
        <w:rPr>
          <w:rFonts w:ascii="Times New Roman" w:eastAsia="宋体" w:hAnsi="Times New Roman"/>
          <w:vanish/>
          <w:sz w:val="20"/>
          <w:szCs w:val="20"/>
        </w:rPr>
        <w:t>0000050863 us-gaap:OtherLongTermInvestmentsMember us-gaap:CorporateDebtSecuritiesMember us-gaap:FairValueInputsLevel2Member us-gaap:FairValueMeasurementsRecurringMember 2020-03-28 0000050863 us-gaap:OtherLongTermInvestmentsMember us-gaap:FixedIncomeSecurit</w:t>
      </w:r>
      <w:r>
        <w:rPr>
          <w:rFonts w:ascii="Times New Roman" w:eastAsia="宋体" w:hAnsi="Times New Roman"/>
          <w:vanish/>
          <w:sz w:val="20"/>
          <w:szCs w:val="20"/>
        </w:rPr>
        <w:t>iesMember us-gaap:FairValueInputsLevel2Member us-gaap:FairValueMeasurementsRecurringMember 2019-12-28 0000050863 us-gaap:ShortTermInvestmentsMember us-gaap:FixedIncomeSecuritiesMember us-gaap:FairValueInputsLevel3Member us-gaap:FairValueMeasurementsRecurri</w:t>
      </w:r>
      <w:r>
        <w:rPr>
          <w:rFonts w:ascii="Times New Roman" w:eastAsia="宋体" w:hAnsi="Times New Roman"/>
          <w:vanish/>
          <w:sz w:val="20"/>
          <w:szCs w:val="20"/>
        </w:rPr>
        <w:t>ngMember 2020-03-28 0000050863 us-gaap:FixedIncomeSecuritiesMember us-gaap:FairValueInputsLevel3Member us-gaap:FairValueMeasurementsRecurringMember 2020-03-28 0000050863 us-gaap:OtherLongTermInvestmentsMember us-gaap:FixedIncomeSecuritiesMember us-gaap:Fai</w:t>
      </w:r>
      <w:r>
        <w:rPr>
          <w:rFonts w:ascii="Times New Roman" w:eastAsia="宋体" w:hAnsi="Times New Roman"/>
          <w:vanish/>
          <w:sz w:val="20"/>
          <w:szCs w:val="20"/>
        </w:rPr>
        <w:t>rValueInputsLevel1Member us-gaap:FairValueMeasurementsRecurringMember 2019-12-28 0000050863 us-gaap:OtherNoncurrentLiabilitiesMember us-gaap:FairValueInputsLevel3Member us-gaap:FairValueMeasurementsRecurringMember 2020-03-28 0000050863 us-gaap:CashEquivale</w:t>
      </w:r>
      <w:r>
        <w:rPr>
          <w:rFonts w:ascii="Times New Roman" w:eastAsia="宋体" w:hAnsi="Times New Roman"/>
          <w:vanish/>
          <w:sz w:val="20"/>
          <w:szCs w:val="20"/>
        </w:rPr>
        <w:t>ntsMember intc:GovernmentDebtSecuritiesMember us-gaap:FairValueInputsLevel3Member us-gaap:FairValueMeasurementsRecurringMember 2020-03-28 0000050863 intc:GovernmentDebtSecuritiesMember us-gaap:FairValueInputsLevel2Member us-gaap:FairValueMeasurementsRecurr</w:t>
      </w:r>
      <w:r>
        <w:rPr>
          <w:rFonts w:ascii="Times New Roman" w:eastAsia="宋体" w:hAnsi="Times New Roman"/>
          <w:vanish/>
          <w:sz w:val="20"/>
          <w:szCs w:val="20"/>
        </w:rPr>
        <w:t>ingMember 2020-03-28 0000050863 us-gaap:OtherLongTermInvestmentsMember us-gaap:CorporateDebtSecuritiesMember us-gaap:FairValueInputsLevel3Member us-gaap:FairValueMeasurementsRecurringMember 2019-12-28 0000050863 us-gaap:FixedIncomeSecuritiesMember us-gaap:</w:t>
      </w:r>
      <w:r>
        <w:rPr>
          <w:rFonts w:ascii="Times New Roman" w:eastAsia="宋体" w:hAnsi="Times New Roman"/>
          <w:vanish/>
          <w:sz w:val="20"/>
          <w:szCs w:val="20"/>
        </w:rPr>
        <w:t>FairValueInputsLevel1Member us-gaap:FairValueMeasurementsRecurringMember 2019-12-28 0000050863 us-gaap:FairValueInputsLevel2Member us-gaap:FairValueMeasurementsRecurringMember 2019-12-28 0000050863 us-gaap:ShortTermInvestmentsMember us-gaap:FixedIncomeSecu</w:t>
      </w:r>
      <w:r>
        <w:rPr>
          <w:rFonts w:ascii="Times New Roman" w:eastAsia="宋体" w:hAnsi="Times New Roman"/>
          <w:vanish/>
          <w:sz w:val="20"/>
          <w:szCs w:val="20"/>
        </w:rPr>
        <w:t>ritiesMember us-gaap:FairValueInputsLevel2Member us-gaap:FairValueMeasurementsRecurringMember 2019-12-28 0000050863 us-gaap:CashEquivalentsMember us-gaap:FixedIncomeSecuritiesMember us-gaap:FairValueMeasurementsRecurringMember 2019-12-28 0000050863 us-gaap</w:t>
      </w:r>
      <w:r>
        <w:rPr>
          <w:rFonts w:ascii="Times New Roman" w:eastAsia="宋体" w:hAnsi="Times New Roman"/>
          <w:vanish/>
          <w:sz w:val="20"/>
          <w:szCs w:val="20"/>
        </w:rPr>
        <w:t>:OtherCurrentLiabilitiesMember us-gaap:FairValueInputsLevel3Member us-gaap:FairValueMeasurementsRecurringMember 2020-03-28 0000050863 us-gaap:ShortTermInvestmentsMember us-gaap:FixedIncomeSecuritiesMember us-gaap:FairValueInputsLevel3Member us-gaap:FairVal</w:t>
      </w:r>
      <w:r>
        <w:rPr>
          <w:rFonts w:ascii="Times New Roman" w:eastAsia="宋体" w:hAnsi="Times New Roman"/>
          <w:vanish/>
          <w:sz w:val="20"/>
          <w:szCs w:val="20"/>
        </w:rPr>
        <w:t>ueMeasurementsRecurringMember 2019-12-28 0000050863 us-gaap:OtherNoncurrentAssetsMember us-gaap:FairValueInputsLevel2Member us-gaap:FairValueMeasurementsRecurringMember 2019-12-28 0000050863 us-gaap:OtherCurrentLiabilitiesMember us-gaap:FairValueMeasuremen</w:t>
      </w:r>
      <w:r>
        <w:rPr>
          <w:rFonts w:ascii="Times New Roman" w:eastAsia="宋体" w:hAnsi="Times New Roman"/>
          <w:vanish/>
          <w:sz w:val="20"/>
          <w:szCs w:val="20"/>
        </w:rPr>
        <w:t>tsRecurringMember 2019-12-28 0000050863 us-gaap:OtherLongTermInvestmentsMember us-gaap:FixedIncomeSecuritiesMember us-gaap:FairValueInputsLevel3Member us-gaap:FairValueMeasurementsRecurringMember 2019-12-28 0000050863 us-gaap:CashEquivalentsMember us-gaap:</w:t>
      </w:r>
      <w:r>
        <w:rPr>
          <w:rFonts w:ascii="Times New Roman" w:eastAsia="宋体" w:hAnsi="Times New Roman"/>
          <w:vanish/>
          <w:sz w:val="20"/>
          <w:szCs w:val="20"/>
        </w:rPr>
        <w:t>FixedIncomeSecuritiesMember us-gaap:FairValueInputsLevel2Member us-gaap:FairValueMeasurementsRecurringMember 2019-12-28 0000050863 us-gaap:OtherNoncurrentAssetsMember us-gaap:FairValueInputsLevel3Member us-gaap:FairValueMeasurementsRecurringMember 2020-03-</w:t>
      </w:r>
      <w:r>
        <w:rPr>
          <w:rFonts w:ascii="Times New Roman" w:eastAsia="宋体" w:hAnsi="Times New Roman"/>
          <w:vanish/>
          <w:sz w:val="20"/>
          <w:szCs w:val="20"/>
        </w:rPr>
        <w:t>28 0000050863 us-gaap:ShortTermInvestmentsMember intc:GovernmentDebtSecuritiesMember us-gaap:FairValueInputsLevel1Member us-gaap:FairValueMeasurementsRecurringMember 2019-12-28 0000050863 us-gaap:OtherLongTermInvestmentsMember us-gaap:FixedIncomeSecurities</w:t>
      </w:r>
      <w:r>
        <w:rPr>
          <w:rFonts w:ascii="Times New Roman" w:eastAsia="宋体" w:hAnsi="Times New Roman"/>
          <w:vanish/>
          <w:sz w:val="20"/>
          <w:szCs w:val="20"/>
        </w:rPr>
        <w:t>Member us-gaap:FairValueInputsLevel1Member us-gaap:FairValueMeasurementsRecurringMember 2020-03-28 0000050863 us-gaap:ShortTermInvestmentsMember us-gaap:CorporateDebtSecuritiesMember us-gaap:FairValueInputsLevel1Member us-gaap:FairValueMeasurementsRecurrin</w:t>
      </w:r>
      <w:r>
        <w:rPr>
          <w:rFonts w:ascii="Times New Roman" w:eastAsia="宋体" w:hAnsi="Times New Roman"/>
          <w:vanish/>
          <w:sz w:val="20"/>
          <w:szCs w:val="20"/>
        </w:rPr>
        <w:t>gMember 2019-12-28 0000050863 us-gaap:OtherNoncurrentLiabilitiesMember us-gaap:FairValueInputsLevel1Member us-gaap:FairValueMeasurementsRecurringMember 2020-03-28 0000050863 intc:GovernmentDebtSecuritiesMember us-gaap:FairValueMeasurementsRecurringMember 2</w:t>
      </w:r>
      <w:r>
        <w:rPr>
          <w:rFonts w:ascii="Times New Roman" w:eastAsia="宋体" w:hAnsi="Times New Roman"/>
          <w:vanish/>
          <w:sz w:val="20"/>
          <w:szCs w:val="20"/>
        </w:rPr>
        <w:t>020-03-28 0000050863 us-gaap:OtherNoncurrentAssetsMember us-gaap:FairValueMeasurementsRecurringMember 2019-12-28 0000050863 us-gaap:CashEquivalentsMember us-gaap:CorporateDebtSecuritiesMember us-gaap:FairValueMeasurementsRecurringMember 2019-12-28 00000508</w:t>
      </w:r>
      <w:r>
        <w:rPr>
          <w:rFonts w:ascii="Times New Roman" w:eastAsia="宋体" w:hAnsi="Times New Roman"/>
          <w:vanish/>
          <w:sz w:val="20"/>
          <w:szCs w:val="20"/>
        </w:rPr>
        <w:t>63 us-gaap:CashEquivalentsMember us-gaap:FixedIncomeSecuritiesMember us-gaap:FairValueInputsLevel1Member us-gaap:FairValueMeasurementsRecurringMember 2020-03-28 0000050863 us-gaap:ShortTermInvestmentsMember intc:GovernmentDebtSecuritiesMember us-gaap:FairV</w:t>
      </w:r>
      <w:r>
        <w:rPr>
          <w:rFonts w:ascii="Times New Roman" w:eastAsia="宋体" w:hAnsi="Times New Roman"/>
          <w:vanish/>
          <w:sz w:val="20"/>
          <w:szCs w:val="20"/>
        </w:rPr>
        <w:t>alueMeasurementsRecurringMember 2019-12-28 0000050863 us-gaap:EquitySecuritiesMember us-gaap:FairValueInputsLevel3Member us-gaap:FairValueMeasurementsRecurringMember 2019-12-28 0000050863 us-gaap:CashEquivalentsMember intc:GovernmentDebtSecuritiesMember us</w:t>
      </w:r>
      <w:r>
        <w:rPr>
          <w:rFonts w:ascii="Times New Roman" w:eastAsia="宋体" w:hAnsi="Times New Roman"/>
          <w:vanish/>
          <w:sz w:val="20"/>
          <w:szCs w:val="20"/>
        </w:rPr>
        <w:t>-gaap:FairValueMeasurementsRecurringMember 2019-12-28 0000050863 us-gaap:CashEquivalentsMember us-gaap:CorporateDebtSecuritiesMember us-gaap:FairValueInputsLevel3Member us-gaap:FairValueMeasurementsRecurringMember 2019-12-28 0000050863 us-gaap:CashEquivale</w:t>
      </w:r>
      <w:r>
        <w:rPr>
          <w:rFonts w:ascii="Times New Roman" w:eastAsia="宋体" w:hAnsi="Times New Roman"/>
          <w:vanish/>
          <w:sz w:val="20"/>
          <w:szCs w:val="20"/>
        </w:rPr>
        <w:t>ntsMember intc:GovernmentDebtSecuritiesMember us-gaap:FairValueInputsLevel2Member us-gaap:FairValueMeasurementsRecurringMember 2020-03-28 0000050863 us-gaap:ShortTermInvestmentsMember us-gaap:CorporateDebtSecuritiesMember us-gaap:FairValueInputsLevel3Membe</w:t>
      </w:r>
      <w:r>
        <w:rPr>
          <w:rFonts w:ascii="Times New Roman" w:eastAsia="宋体" w:hAnsi="Times New Roman"/>
          <w:vanish/>
          <w:sz w:val="20"/>
          <w:szCs w:val="20"/>
        </w:rPr>
        <w:t>r us-gaap:FairValueMeasurementsRecurringMember 2019-12-28 0000050863 us-gaap:OtherCurrentAssetsMember us-gaap:FairValueInputsLevel2Member us-gaap:FairValueMeasurementsRecurringMember 2019-12-28 0000050863 us-gaap:ShortTermInvestmentsMember us-gaap:Corporat</w:t>
      </w:r>
      <w:r>
        <w:rPr>
          <w:rFonts w:ascii="Times New Roman" w:eastAsia="宋体" w:hAnsi="Times New Roman"/>
          <w:vanish/>
          <w:sz w:val="20"/>
          <w:szCs w:val="20"/>
        </w:rPr>
        <w:t>eDebtSecuritiesMember us-gaap:FairValueInputsLevel2Member us-gaap:FairValueMeasurementsRecurringMember 2020-03-28 0000050863 us-gaap:ShortTermInvestmentsMember us-gaap:CorporateDebtSecuritiesMember us-gaap:FairValueInputsLevel3Member us-gaap:FairValueMeasu</w:t>
      </w:r>
      <w:r>
        <w:rPr>
          <w:rFonts w:ascii="Times New Roman" w:eastAsia="宋体" w:hAnsi="Times New Roman"/>
          <w:vanish/>
          <w:sz w:val="20"/>
          <w:szCs w:val="20"/>
        </w:rPr>
        <w:t xml:space="preserve">rementsRecurringMember 2020-03-28 0000050863 us-gaap:OtherCurrentAssetsMember us-gaap:FairValueMeasurementsRecurringMember 2020-03-28 0000050863 us-gaap:CashEquivalentsMember us-gaap:FairValueInputsLevel1Member us-gaap:FairValueMeasurementsRecurringMember </w:t>
      </w:r>
      <w:r>
        <w:rPr>
          <w:rFonts w:ascii="Times New Roman" w:eastAsia="宋体" w:hAnsi="Times New Roman"/>
          <w:vanish/>
          <w:sz w:val="20"/>
          <w:szCs w:val="20"/>
        </w:rPr>
        <w:t>2020-03-28 0000050863 us-gaap:ShortTermInvestmentsMember us-gaap:CorporateDebtSecuritiesMember us-gaap:FairValueInputsLevel2Member us-gaap:FairValueMeasurementsRecurringMember 2019-12-28 0000050863 us-gaap:FairValueInputsLevel3Member us-gaap:FairValueMeasu</w:t>
      </w:r>
      <w:r>
        <w:rPr>
          <w:rFonts w:ascii="Times New Roman" w:eastAsia="宋体" w:hAnsi="Times New Roman"/>
          <w:vanish/>
          <w:sz w:val="20"/>
          <w:szCs w:val="20"/>
        </w:rPr>
        <w:t>rementsRecurringMember 2019-12-28 0000050863 us-gaap:OtherLongTermInvestmentsMember us-gaap:CorporateDebtSecuritiesMember us-gaap:FairValueMeasurementsRecurringMember 2020-03-28 0000050863 us-gaap:OtherLongTermInvestmentsMember us-gaap:FixedIncomeSecuritie</w:t>
      </w:r>
      <w:r>
        <w:rPr>
          <w:rFonts w:ascii="Times New Roman" w:eastAsia="宋体" w:hAnsi="Times New Roman"/>
          <w:vanish/>
          <w:sz w:val="20"/>
          <w:szCs w:val="20"/>
        </w:rPr>
        <w:t>sMember us-gaap:FairValueInputsLevel3Member us-gaap:FairValueMeasurementsRecurringMember 2020-03-28 0000050863 us-gaap:CashEquivalentsMember us-gaap:FixedIncomeSecuritiesMember us-gaap:FairValueInputsLevel1Member us-gaap:FairValueMeasurementsRecurringMembe</w:t>
      </w:r>
      <w:r>
        <w:rPr>
          <w:rFonts w:ascii="Times New Roman" w:eastAsia="宋体" w:hAnsi="Times New Roman"/>
          <w:vanish/>
          <w:sz w:val="20"/>
          <w:szCs w:val="20"/>
        </w:rPr>
        <w:t>r 2019-12-28 0000050863 us-gaap:OtherCurrentLiabilitiesMember us-gaap:FairValueInputsLevel1Member us-gaap:FairValueMeasurementsRecurringMember 2019-12-28 0000050863 intc:GovernmentDebtSecuritiesMember us-gaap:FairValueInputsLevel2Member us-gaap:FairValueMe</w:t>
      </w:r>
      <w:r>
        <w:rPr>
          <w:rFonts w:ascii="Times New Roman" w:eastAsia="宋体" w:hAnsi="Times New Roman"/>
          <w:vanish/>
          <w:sz w:val="20"/>
          <w:szCs w:val="20"/>
        </w:rPr>
        <w:t>asurementsRecurringMember 2019-12-28 0000050863 us-gaap:OtherLongTermInvestmentsMember us-gaap:FixedIncomeSecuritiesMember us-gaap:FairValueMeasurementsRecurringMember 2019-12-28 0000050863 us-gaap:EquitySecuritiesMember us-gaap:FairValueInputsLevel2Member</w:t>
      </w:r>
      <w:r>
        <w:rPr>
          <w:rFonts w:ascii="Times New Roman" w:eastAsia="宋体" w:hAnsi="Times New Roman"/>
          <w:vanish/>
          <w:sz w:val="20"/>
          <w:szCs w:val="20"/>
        </w:rPr>
        <w:t xml:space="preserve"> us-gaap:FairValueMeasurementsRecurringMember 2020-03-28 0000050863 us-gaap:FairValueInputsLevel1Member us-gaap:FairValueMeasurementsRecurringMember 2019-12-28 0000050863 us-gaap:CorporateDebtSecuritiesMember us-gaap:FairValueInputsLevel2Member us-gaap:Fai</w:t>
      </w:r>
      <w:r>
        <w:rPr>
          <w:rFonts w:ascii="Times New Roman" w:eastAsia="宋体" w:hAnsi="Times New Roman"/>
          <w:vanish/>
          <w:sz w:val="20"/>
          <w:szCs w:val="20"/>
        </w:rPr>
        <w:t>rValueMeasurementsRecurringMember 2019-12-28 0000050863 us-gaap:CashEquivalentsMember us-gaap:FairValueInputsLevel1Member us-gaap:FairValueMeasurementsRecurringMember 2019-12-28 0000050863 us-gaap:CashEquivalentsMember intc:GovernmentDebtSecuritiesMember u</w:t>
      </w:r>
      <w:r>
        <w:rPr>
          <w:rFonts w:ascii="Times New Roman" w:eastAsia="宋体" w:hAnsi="Times New Roman"/>
          <w:vanish/>
          <w:sz w:val="20"/>
          <w:szCs w:val="20"/>
        </w:rPr>
        <w:t>s-gaap:FairValueInputsLevel3Member us-gaap:FairValueMeasurementsRecurringMember 2019-12-28 0000050863 us-gaap:OtherNoncurrentLiabilitiesMember us-gaap:FairValueInputsLevel1Member us-gaap:FairValueMeasurementsRecurringMember 2019-12-28 0000050863 us-gaap:Ca</w:t>
      </w:r>
      <w:r>
        <w:rPr>
          <w:rFonts w:ascii="Times New Roman" w:eastAsia="宋体" w:hAnsi="Times New Roman"/>
          <w:vanish/>
          <w:sz w:val="20"/>
          <w:szCs w:val="20"/>
        </w:rPr>
        <w:t>shEquivalentsMember intc:GovernmentDebtSecuritiesMember us-gaap:FairValueInputsLevel1Member us-gaap:FairValueMeasurementsRecurringMember 2019-12-28 0000050863 us-gaap:OtherLongTermInvestmentsMember intc:GovernmentDebtSecuritiesMember us-gaap:FairValueInput</w:t>
      </w:r>
      <w:r>
        <w:rPr>
          <w:rFonts w:ascii="Times New Roman" w:eastAsia="宋体" w:hAnsi="Times New Roman"/>
          <w:vanish/>
          <w:sz w:val="20"/>
          <w:szCs w:val="20"/>
        </w:rPr>
        <w:t>sLevel3Member us-gaap:FairValueMeasurementsRecurringMember 2020-03-28 0000050863 us-gaap:ShortTermInvestmentsMember intc:GovernmentDebtSecuritiesMember us-gaap:FairValueMeasurementsRecurringMember 2020-03-28 0000050863 us-gaap:EquitySecuritiesMember us-gaa</w:t>
      </w:r>
      <w:r>
        <w:rPr>
          <w:rFonts w:ascii="Times New Roman" w:eastAsia="宋体" w:hAnsi="Times New Roman"/>
          <w:vanish/>
          <w:sz w:val="20"/>
          <w:szCs w:val="20"/>
        </w:rPr>
        <w:t>p:FairValueInputsLevel1Member us-gaap:FairValueMeasurementsRecurringMember 2020-03-28 0000050863 us-gaap:OtherCurrentAssetsMember us-gaap:FairValueInputsLevel1Member us-gaap:FairValueMeasurementsRecurringMember 2020-03-28 0000050863 us-gaap:OtherCurrentLia</w:t>
      </w:r>
      <w:r>
        <w:rPr>
          <w:rFonts w:ascii="Times New Roman" w:eastAsia="宋体" w:hAnsi="Times New Roman"/>
          <w:vanish/>
          <w:sz w:val="20"/>
          <w:szCs w:val="20"/>
        </w:rPr>
        <w:t>bilitiesMember us-gaap:FairValueInputsLevel2Member us-gaap:FairValueMeasurementsRecurringMember 2019-12-28 0000050863 us-gaap:OtherCurrentAssetsMember us-gaap:FairValueInputsLevel1Member us-gaap:FairValueMeasurementsRecurringMember 2019-12-28 0000050863 us</w:t>
      </w:r>
      <w:r>
        <w:rPr>
          <w:rFonts w:ascii="Times New Roman" w:eastAsia="宋体" w:hAnsi="Times New Roman"/>
          <w:vanish/>
          <w:sz w:val="20"/>
          <w:szCs w:val="20"/>
        </w:rPr>
        <w:t>-gaap:CashEquivalentsMember us-gaap:FixedIncomeSecuritiesMember us-gaap:FairValueInputsLevel3Member us-gaap:FairValueMeasurementsRecurringMember 2019-12-28 0000050863 us-gaap:CorporateDebtSecuritiesMember us-gaap:FairValueInputsLevel1Member us-gaap:FairVal</w:t>
      </w:r>
      <w:r>
        <w:rPr>
          <w:rFonts w:ascii="Times New Roman" w:eastAsia="宋体" w:hAnsi="Times New Roman"/>
          <w:vanish/>
          <w:sz w:val="20"/>
          <w:szCs w:val="20"/>
        </w:rPr>
        <w:t>ueMeasurementsRecurringMember 2020-03-28 0000050863 us-gaap:ShortTermInvestmentsMember us-gaap:FixedIncomeSecuritiesMember us-gaap:FairValueInputsLevel1Member us-gaap:FairValueMeasurementsRecurringMember 2019-12-28 0000050863 us-gaap:FixedIncomeSecuritiesM</w:t>
      </w:r>
      <w:r>
        <w:rPr>
          <w:rFonts w:ascii="Times New Roman" w:eastAsia="宋体" w:hAnsi="Times New Roman"/>
          <w:vanish/>
          <w:sz w:val="20"/>
          <w:szCs w:val="20"/>
        </w:rPr>
        <w:t>ember us-gaap:FairValueInputsLevel3Member us-gaap:FairValueMeasurementsRecurringMember 2019-12-28 0000050863 us-gaap:CashEquivalentsMember us-gaap:FairValueMeasurementsRecurringMember 2020-03-28 0000050863 us-gaap:CashEquivalentsMember us-gaap:FixedIncomeS</w:t>
      </w:r>
      <w:r>
        <w:rPr>
          <w:rFonts w:ascii="Times New Roman" w:eastAsia="宋体" w:hAnsi="Times New Roman"/>
          <w:vanish/>
          <w:sz w:val="20"/>
          <w:szCs w:val="20"/>
        </w:rPr>
        <w:t>ecuritiesMember us-gaap:FairValueInputsLevel2Member us-gaap:FairValueMeasurementsRecurringMember 2020-03-28 0000050863 intc:GovernmentDebtSecuritiesMember us-gaap:FairValueInputsLevel3Member us-gaap:FairValueMeasurementsRecurringMember 2019-12-28 000005086</w:t>
      </w:r>
      <w:r>
        <w:rPr>
          <w:rFonts w:ascii="Times New Roman" w:eastAsia="宋体" w:hAnsi="Times New Roman"/>
          <w:vanish/>
          <w:sz w:val="20"/>
          <w:szCs w:val="20"/>
        </w:rPr>
        <w:t>3 us-gaap:OtherLongTermInvestmentsMember intc:GovernmentDebtSecuritiesMember us-gaap:FairValueInputsLevel3Member us-gaap:FairValueMeasurementsRecurringMember 2019-12-28 0000050863 us-gaap:CashEquivalentsMember us-gaap:FairValueInputsLevel2Member us-gaap:Fa</w:t>
      </w:r>
      <w:r>
        <w:rPr>
          <w:rFonts w:ascii="Times New Roman" w:eastAsia="宋体" w:hAnsi="Times New Roman"/>
          <w:vanish/>
          <w:sz w:val="20"/>
          <w:szCs w:val="20"/>
        </w:rPr>
        <w:t>irValueMeasurementsRecurringMember 2019-12-28 0000050863 us-gaap:CorporateDebtSecuritiesMember us-gaap:FairValueMeasurementsRecurringMember 2019-12-28 0000050863 us-gaap:OtherLongTermInvestmentsMember us-gaap:CorporateDebtSecuritiesMember us-gaap:FairValue</w:t>
      </w:r>
      <w:r>
        <w:rPr>
          <w:rFonts w:ascii="Times New Roman" w:eastAsia="宋体" w:hAnsi="Times New Roman"/>
          <w:vanish/>
          <w:sz w:val="20"/>
          <w:szCs w:val="20"/>
        </w:rPr>
        <w:t>MeasurementsRecurringMember 2019-12-28 0000050863 us-gaap:FixedIncomeSecuritiesMember us-gaap:FairValueMeasurementsRecurringMember 2020-03-28 0000050863 us-gaap:FairValueHedgingMember us-gaap:OtherNonoperatingIncomeExpenseMember 2019-12-29 2020-03-28 00000</w:t>
      </w:r>
      <w:r>
        <w:rPr>
          <w:rFonts w:ascii="Times New Roman" w:eastAsia="宋体" w:hAnsi="Times New Roman"/>
          <w:vanish/>
          <w:sz w:val="20"/>
          <w:szCs w:val="20"/>
        </w:rPr>
        <w:t>50863 us-gaap:NondesignatedMember 2019-12-29 2020-03-28 0000050863 us-gaap:OtherLongTermInvestmentsMember us-gaap:FixedIncomeSecuritiesMember us-gaap:FairValueMeasurementsRecurringMember 2020-03-28 0000050863 us-gaap:FixedIncomeSecuritiesMember us-gaap:Fai</w:t>
      </w:r>
      <w:r>
        <w:rPr>
          <w:rFonts w:ascii="Times New Roman" w:eastAsia="宋体" w:hAnsi="Times New Roman"/>
          <w:vanish/>
          <w:sz w:val="20"/>
          <w:szCs w:val="20"/>
        </w:rPr>
        <w:t>rValueInputsLevel2Member us-gaap:FairValueMeasurementsRecurringMember 2020-03-28 0000050863 us-gaap:CashEquivalentsMember us-gaap:FairValueMeasurementsRecurringMember 2019-12-28 0000050863 intc:GovernmentDebtSecuritiesMember us-gaap:FairValueMeasurementsRe</w:t>
      </w:r>
      <w:r>
        <w:rPr>
          <w:rFonts w:ascii="Times New Roman" w:eastAsia="宋体" w:hAnsi="Times New Roman"/>
          <w:vanish/>
          <w:sz w:val="20"/>
          <w:szCs w:val="20"/>
        </w:rPr>
        <w:t>curringMember 2019-12-28 0000050863 us-gaap:EquitySecuritiesMember us-gaap:FairValueInputsLevel1Member us-gaap:FairValueMeasurementsRecurringMember 2019-12-28 0000050863 us-gaap:FixedIncomeSecuritiesMember us-gaap:FairValueInputsLevel1Member us-gaap:FairVa</w:t>
      </w:r>
      <w:r>
        <w:rPr>
          <w:rFonts w:ascii="Times New Roman" w:eastAsia="宋体" w:hAnsi="Times New Roman"/>
          <w:vanish/>
          <w:sz w:val="20"/>
          <w:szCs w:val="20"/>
        </w:rPr>
        <w:t>lueMeasurementsRecurringMember 2020-03-28 0000050863 us-gaap:OtherLongTermInvestmentsMember intc:GovernmentDebtSecuritiesMember us-gaap:FairValueMeasurementsRecurringMember 2019-12-28 0000050863 us-gaap:CorporateDebtSecuritiesMember us-gaap:FairValueMeasur</w:t>
      </w:r>
      <w:r>
        <w:rPr>
          <w:rFonts w:ascii="Times New Roman" w:eastAsia="宋体" w:hAnsi="Times New Roman"/>
          <w:vanish/>
          <w:sz w:val="20"/>
          <w:szCs w:val="20"/>
        </w:rPr>
        <w:t>ementsRecurringMember 2020-03-28 0000050863 us-gaap:CashEquivalentsMember us-gaap:CorporateDebtSecuritiesMember us-gaap:FairValueInputsLevel1Member us-gaap:FairValueMeasurementsRecurringMember 2020-03-28 0000050863 us-gaap:OtherLongTermInvestmentsMember in</w:t>
      </w:r>
      <w:r>
        <w:rPr>
          <w:rFonts w:ascii="Times New Roman" w:eastAsia="宋体" w:hAnsi="Times New Roman"/>
          <w:vanish/>
          <w:sz w:val="20"/>
          <w:szCs w:val="20"/>
        </w:rPr>
        <w:t>tc:GovernmentDebtSecuritiesMember us-gaap:FairValueMeasurementsRecurringMember 2020-03-28 0000050863 us-gaap:OtherCurrentLiabilitiesMember us-gaap:FairValueInputsLevel1Member us-gaap:FairValueMeasurementsRecurringMember 2020-03-28 0000050863 us-gaap:ShortT</w:t>
      </w:r>
      <w:r>
        <w:rPr>
          <w:rFonts w:ascii="Times New Roman" w:eastAsia="宋体" w:hAnsi="Times New Roman"/>
          <w:vanish/>
          <w:sz w:val="20"/>
          <w:szCs w:val="20"/>
        </w:rPr>
        <w:t>ermInvestmentsMember us-gaap:FixedIncomeSecuritiesMember us-gaap:FairValueMeasurementsRecurringMember 2020-03-28 0000050863 us-gaap:CashEquivalentsMember us-gaap:FairValueInputsLevel3Member us-gaap:FairValueMeasurementsRecurringMember 2020-03-28 0000050863</w:t>
      </w:r>
      <w:r>
        <w:rPr>
          <w:rFonts w:ascii="Times New Roman" w:eastAsia="宋体" w:hAnsi="Times New Roman"/>
          <w:vanish/>
          <w:sz w:val="20"/>
          <w:szCs w:val="20"/>
        </w:rPr>
        <w:t xml:space="preserve"> us-gaap:OtherNoncurrentLiabilitiesMember us-gaap:FairValueMeasurementsRecurringMember 2020-03-28 0000050863 us-gaap:OtherLongTermInvestmentsMember us-gaap:CorporateDebtSecuritiesMember us-gaap:FairValueInputsLevel2Member us-gaap:FairValueMeasurementsRecur</w:t>
      </w:r>
      <w:r>
        <w:rPr>
          <w:rFonts w:ascii="Times New Roman" w:eastAsia="宋体" w:hAnsi="Times New Roman"/>
          <w:vanish/>
          <w:sz w:val="20"/>
          <w:szCs w:val="20"/>
        </w:rPr>
        <w:t>ringMember 2019-12-28 0000050863 us-gaap:CashEquivalentsMember us-gaap:CorporateDebtSecuritiesMember us-gaap:FairValueInputsLevel2Member us-gaap:FairValueMeasurementsRecurringMember 2019-12-28 0000050863 us-gaap:FixedIncomeSecuritiesMember us-gaap:FairValu</w:t>
      </w:r>
      <w:r>
        <w:rPr>
          <w:rFonts w:ascii="Times New Roman" w:eastAsia="宋体" w:hAnsi="Times New Roman"/>
          <w:vanish/>
          <w:sz w:val="20"/>
          <w:szCs w:val="20"/>
        </w:rPr>
        <w:t>eInputsLevel2Member us-gaap:FairValueMeasurementsRecurringMember 2019-12-28 0000050863 us-gaap:EquitySecuritiesMember us-gaap:FairValueMeasurementsRecurringMember 2019-12-28 0000050863 us-gaap:FixedIncomeSecuritiesMember us-gaap:FairValueMeasurementsRecurr</w:t>
      </w:r>
      <w:r>
        <w:rPr>
          <w:rFonts w:ascii="Times New Roman" w:eastAsia="宋体" w:hAnsi="Times New Roman"/>
          <w:vanish/>
          <w:sz w:val="20"/>
          <w:szCs w:val="20"/>
        </w:rPr>
        <w:t>ingMember 2019-12-28 0000050863 us-gaap:ShortTermInvestmentsMember intc:GovernmentDebtSecuritiesMember us-gaap:FairValueInputsLevel3Member us-gaap:FairValueMeasurementsRecurringMember 2020-03-28 0000050863 us-gaap:OtherCurrentLiabilitiesMember us-gaap:Fair</w:t>
      </w:r>
      <w:r>
        <w:rPr>
          <w:rFonts w:ascii="Times New Roman" w:eastAsia="宋体" w:hAnsi="Times New Roman"/>
          <w:vanish/>
          <w:sz w:val="20"/>
          <w:szCs w:val="20"/>
        </w:rPr>
        <w:t>ValueInputsLevel3Member us-gaap:FairValueMeasurementsRecurringMember 2019-12-28 0000050863 us-gaap:OtherLongTermInvestmentsMember intc:GovernmentDebtSecuritiesMember us-gaap:FairValueInputsLevel2Member us-gaap:FairValueMeasurementsRecurringMember 2020-03-2</w:t>
      </w:r>
      <w:r>
        <w:rPr>
          <w:rFonts w:ascii="Times New Roman" w:eastAsia="宋体" w:hAnsi="Times New Roman"/>
          <w:vanish/>
          <w:sz w:val="20"/>
          <w:szCs w:val="20"/>
        </w:rPr>
        <w:t>8 0000050863 us-gaap:OtherLongTermInvestmentsMember intc:GovernmentDebtSecuritiesMember us-gaap:FairValueInputsLevel1Member us-gaap:FairValueMeasurementsRecurringMember 2019-12-28 0000050863 us-gaap:EquitySecuritiesMember us-gaap:FairValueInputsLevel3Membe</w:t>
      </w:r>
      <w:r>
        <w:rPr>
          <w:rFonts w:ascii="Times New Roman" w:eastAsia="宋体" w:hAnsi="Times New Roman"/>
          <w:vanish/>
          <w:sz w:val="20"/>
          <w:szCs w:val="20"/>
        </w:rPr>
        <w:t>r us-gaap:FairValueMeasurementsRecurringMember 2020-03-28 0000050863 us-gaap:CashEquivalentsMember us-gaap:CorporateDebtSecuritiesMember us-gaap:FairValueInputsLevel2Member us-gaap:FairValueMeasurementsRecurringMember 2020-03-28 0000050863 us-gaap:Corporat</w:t>
      </w:r>
      <w:r>
        <w:rPr>
          <w:rFonts w:ascii="Times New Roman" w:eastAsia="宋体" w:hAnsi="Times New Roman"/>
          <w:vanish/>
          <w:sz w:val="20"/>
          <w:szCs w:val="20"/>
        </w:rPr>
        <w:t>eDebtSecuritiesMember us-gaap:FairValueInputsLevel3Member us-gaap:FairValueMeasurementsRecurringMember 2019-12-28 0000050863 us-gaap:CashEquivalentsMember intc:GovernmentDebtSecuritiesMember us-gaap:FairValueInputsLevel1Member us-gaap:FairValueMeasurements</w:t>
      </w:r>
      <w:r>
        <w:rPr>
          <w:rFonts w:ascii="Times New Roman" w:eastAsia="宋体" w:hAnsi="Times New Roman"/>
          <w:vanish/>
          <w:sz w:val="20"/>
          <w:szCs w:val="20"/>
        </w:rPr>
        <w:t>RecurringMember 2020-03-28 0000050863 us-gaap:AccumulatedNetGainLossFromCashFlowHedgesIncludingPortionAttributableToNoncontrollingInterestMember 2019-12-29 2020-03-28 0000050863 us-gaap:AccumulatedDefinedBenefitPlansAdjustmentNetGainLossIncludingPortionAtt</w:t>
      </w:r>
      <w:r>
        <w:rPr>
          <w:rFonts w:ascii="Times New Roman" w:eastAsia="宋体" w:hAnsi="Times New Roman"/>
          <w:vanish/>
          <w:sz w:val="20"/>
          <w:szCs w:val="20"/>
        </w:rPr>
        <w:t>ributableToNoncontrollingInterestMember 2019-12-29 2020-03-28 0000050863 us-gaap:AccumulatedNetInvestmentGainLossIncludingPortionAttributableToNoncontrollingInterestMember 2019-12-29 2020-03-28 0000050863 us-gaap:AccumulatedDefinedBenefitPlansAdjustmentNet</w:t>
      </w:r>
      <w:r>
        <w:rPr>
          <w:rFonts w:ascii="Times New Roman" w:eastAsia="宋体" w:hAnsi="Times New Roman"/>
          <w:vanish/>
          <w:sz w:val="20"/>
          <w:szCs w:val="20"/>
        </w:rPr>
        <w:t>GainLossIncludingPortionAttributableToNoncontrollingInterestMember 2020-03-28 0000050863 us-gaap:AccumulatedDefinedBenefitPlansAdjustmentNetGainLossIncludingPortionAttributableToNoncontrollingInterestMember 2019-12-28 0000050863 us-gaap:AccumulatedTranslat</w:t>
      </w:r>
      <w:r>
        <w:rPr>
          <w:rFonts w:ascii="Times New Roman" w:eastAsia="宋体" w:hAnsi="Times New Roman"/>
          <w:vanish/>
          <w:sz w:val="20"/>
          <w:szCs w:val="20"/>
        </w:rPr>
        <w:t>ionAdjustmentMember 2020-03-28 0000050863 us-gaap:AccumulatedTranslationAdjustmentMember 2019-12-29 2020-03-28 0000050863 us-gaap:AccumulatedNetInvestmentGainLossIncludingPortionAttributableToNoncontrollingInterestMember 2020-03-28 0000050863 us-gaap:Accum</w:t>
      </w:r>
      <w:r>
        <w:rPr>
          <w:rFonts w:ascii="Times New Roman" w:eastAsia="宋体" w:hAnsi="Times New Roman"/>
          <w:vanish/>
          <w:sz w:val="20"/>
          <w:szCs w:val="20"/>
        </w:rPr>
        <w:t>ulatedNetInvestmentGainLossIncludingPortionAttributableToNoncontrollingInterestMember 2019-12-28 0000050863 us-gaap:AccumulatedNetGainLossFromCashFlowHedgesIncludingPortionAttributableToNoncontrollingInterestMember 2019-12-28 0000050863 us-gaap:Accumulated</w:t>
      </w:r>
      <w:r>
        <w:rPr>
          <w:rFonts w:ascii="Times New Roman" w:eastAsia="宋体" w:hAnsi="Times New Roman"/>
          <w:vanish/>
          <w:sz w:val="20"/>
          <w:szCs w:val="20"/>
        </w:rPr>
        <w:t>TranslationAdjustmentMember 2019-12-28 0000050863 us-gaap:AccumulatedNetGainLossFromCashFlowHedgesIncludingPortionAttributableToNoncontrollingInterestMember 2020-03-28 0000050863 us-gaap:NondesignatedMember 2018-12-30 2019-03-30 0000050863 us-gaap:ForeignE</w:t>
      </w:r>
      <w:r>
        <w:rPr>
          <w:rFonts w:ascii="Times New Roman" w:eastAsia="宋体" w:hAnsi="Times New Roman"/>
          <w:vanish/>
          <w:sz w:val="20"/>
          <w:szCs w:val="20"/>
        </w:rPr>
        <w:t>xchangeContractMember us-gaap:NondesignatedMember us-gaap:OtherNonoperatingIncomeExpenseMember 2019-12-29 2020-03-28 0000050863 us-gaap:InterestRateContractMember us-gaap:NondesignatedMember us-gaap:OtherNonoperatingIncomeExpenseMember 2019-12-29 2020-03-2</w:t>
      </w:r>
      <w:r>
        <w:rPr>
          <w:rFonts w:ascii="Times New Roman" w:eastAsia="宋体" w:hAnsi="Times New Roman"/>
          <w:vanish/>
          <w:sz w:val="20"/>
          <w:szCs w:val="20"/>
        </w:rPr>
        <w:t>8 0000050863 us-gaap:OtherContractMember us-gaap:NondesignatedMember intc:VariousMember 2018-12-30 2019-03-30 0000050863 us-gaap:OtherContractMember us-gaap:NondesignatedMember intc:VariousMember 2019-12-29 2020-03-28 0000050863 us-gaap:ForeignExchangeCont</w:t>
      </w:r>
      <w:r>
        <w:rPr>
          <w:rFonts w:ascii="Times New Roman" w:eastAsia="宋体" w:hAnsi="Times New Roman"/>
          <w:vanish/>
          <w:sz w:val="20"/>
          <w:szCs w:val="20"/>
        </w:rPr>
        <w:t>ractMember us-gaap:NondesignatedMember us-gaap:OtherNonoperatingIncomeExpenseMember 2018-12-30 2019-03-30 0000050863 us-gaap:InterestRateContractMember us-gaap:NondesignatedMember us-gaap:OtherNonoperatingIncomeExpenseMember 2018-12-30 2019-03-30 000005086</w:t>
      </w:r>
      <w:r>
        <w:rPr>
          <w:rFonts w:ascii="Times New Roman" w:eastAsia="宋体" w:hAnsi="Times New Roman"/>
          <w:vanish/>
          <w:sz w:val="20"/>
          <w:szCs w:val="20"/>
        </w:rPr>
        <w:t>3 us-gaap:LongTermDebtMember us-gaap:InterestRateSwapMember us-gaap:FairValueHedgingMember 2018-12-30 2019-12-28 0000050863 us-gaap:LongTermDebtMember us-gaap:InterestRateSwapMember us-gaap:FairValueHedgingMember 2019-12-28 0000050863 us-gaap:LongTermDebtM</w:t>
      </w:r>
      <w:r>
        <w:rPr>
          <w:rFonts w:ascii="Times New Roman" w:eastAsia="宋体" w:hAnsi="Times New Roman"/>
          <w:vanish/>
          <w:sz w:val="20"/>
          <w:szCs w:val="20"/>
        </w:rPr>
        <w:t>ember us-gaap:InterestRateSwapMember us-gaap:FairValueHedgingMember 2019-12-29 2020-03-28 0000050863 us-gaap:LongTermDebtMember us-gaap:InterestRateSwapMember us-gaap:FairValueHedgingMember 2020-03-28 0000050863 us-gaap:OtherAssetsMember us-gaap:ForeignExc</w:t>
      </w:r>
      <w:r>
        <w:rPr>
          <w:rFonts w:ascii="Times New Roman" w:eastAsia="宋体" w:hAnsi="Times New Roman"/>
          <w:vanish/>
          <w:sz w:val="20"/>
          <w:szCs w:val="20"/>
        </w:rPr>
        <w:t>hangeContractMember us-gaap:DesignatedAsHedgingInstrumentMember 2019-12-28 0000050863 us-gaap:OtherLiabilitiesMember us-gaap:DesignatedAsHedgingInstrumentMember 2019-12-28 0000050863 us-gaap:OtherLiabilitiesMember us-gaap:InterestRateContractMember us-gaap</w:t>
      </w:r>
      <w:r>
        <w:rPr>
          <w:rFonts w:ascii="Times New Roman" w:eastAsia="宋体" w:hAnsi="Times New Roman"/>
          <w:vanish/>
          <w:sz w:val="20"/>
          <w:szCs w:val="20"/>
        </w:rPr>
        <w:t>:NondesignatedMember 2019-12-28 0000050863 us-gaap:OtherAssetsMember 2019-12-28 0000050863 us-gaap:OtherAssetsMember us-gaap:InterestRateContractMember us-gaap:DesignatedAsHedgingInstrumentMember 2019-12-28 0000050863 us-gaap:OtherLiabilitiesMember us-gaap</w:t>
      </w:r>
      <w:r>
        <w:rPr>
          <w:rFonts w:ascii="Times New Roman" w:eastAsia="宋体" w:hAnsi="Times New Roman"/>
          <w:vanish/>
          <w:sz w:val="20"/>
          <w:szCs w:val="20"/>
        </w:rPr>
        <w:t>:InterestRateContractMember us-gaap:DesignatedAsHedgingInstrumentMember 2019-12-28 0000050863 us-gaap:OtherLiabilitiesMember us-gaap:ForeignExchangeContractMember us-gaap:DesignatedAsHedgingInstrumentMember 2019-12-28 0000050863 us-gaap:OtherAssetsMember u</w:t>
      </w:r>
      <w:r>
        <w:rPr>
          <w:rFonts w:ascii="Times New Roman" w:eastAsia="宋体" w:hAnsi="Times New Roman"/>
          <w:vanish/>
          <w:sz w:val="20"/>
          <w:szCs w:val="20"/>
        </w:rPr>
        <w:t>s-gaap:DesignatedAsHedgingInstrumentMember 2019-12-28 0000050863 us-gaap:OtherLiabilitiesMember us-gaap:ForeignExchangeContractMember us-gaap:NondesignatedMember 2020-03-28 0000050863 us-gaap:OtherLiabilitiesMember us-gaap:ForeignExchangeContractMember us-</w:t>
      </w:r>
      <w:r>
        <w:rPr>
          <w:rFonts w:ascii="Times New Roman" w:eastAsia="宋体" w:hAnsi="Times New Roman"/>
          <w:vanish/>
          <w:sz w:val="20"/>
          <w:szCs w:val="20"/>
        </w:rPr>
        <w:t>gaap:DesignatedAsHedgingInstrumentMember 2020-03-28 0000050863 us-gaap:OtherAssetsMember us-gaap:ForeignExchangeContractMember us-gaap:NondesignatedMember 2019-12-28 0000050863 us-gaap:OtherAssetsMember us-gaap:OtherContractMember us-gaap:NondesignatedMemb</w:t>
      </w:r>
      <w:r>
        <w:rPr>
          <w:rFonts w:ascii="Times New Roman" w:eastAsia="宋体" w:hAnsi="Times New Roman"/>
          <w:vanish/>
          <w:sz w:val="20"/>
          <w:szCs w:val="20"/>
        </w:rPr>
        <w:t>er 2020-03-28 0000050863 us-gaap:OtherAssetsMember us-gaap:DesignatedAsHedgingInstrumentMember 2020-03-28 0000050863 us-gaap:OtherLiabilitiesMember us-gaap:ForeignExchangeContractMember us-gaap:NondesignatedMember 2019-12-28 0000050863 us-gaap:OtherLiabili</w:t>
      </w:r>
      <w:r>
        <w:rPr>
          <w:rFonts w:ascii="Times New Roman" w:eastAsia="宋体" w:hAnsi="Times New Roman"/>
          <w:vanish/>
          <w:sz w:val="20"/>
          <w:szCs w:val="20"/>
        </w:rPr>
        <w:t>tiesMember 2020-03-28 0000050863 us-gaap:OtherAssetsMember us-gaap:NondesignatedMember 2019-12-28 0000050863 us-gaap:OtherAssetsMember us-gaap:OtherContractMember us-gaap:NondesignatedMember 2019-12-28 0000050863 us-gaap:OtherAssetsMember 2020-03-28 000005</w:t>
      </w:r>
      <w:r>
        <w:rPr>
          <w:rFonts w:ascii="Times New Roman" w:eastAsia="宋体" w:hAnsi="Times New Roman"/>
          <w:vanish/>
          <w:sz w:val="20"/>
          <w:szCs w:val="20"/>
        </w:rPr>
        <w:t xml:space="preserve">0863 us-gaap:OtherLiabilitiesMember us-gaap:NondesignatedMember 2020-03-28 0000050863 us-gaap:OtherLiabilitiesMember us-gaap:OtherContractMember us-gaap:NondesignatedMember 2020-03-28 0000050863 us-gaap:OtherAssetsMember us-gaap:InterestRateContractMember </w:t>
      </w:r>
      <w:r>
        <w:rPr>
          <w:rFonts w:ascii="Times New Roman" w:eastAsia="宋体" w:hAnsi="Times New Roman"/>
          <w:vanish/>
          <w:sz w:val="20"/>
          <w:szCs w:val="20"/>
        </w:rPr>
        <w:t>us-gaap:DesignatedAsHedgingInstrumentMember 2020-03-28 0000050863 us-gaap:OtherLiabilitiesMember 2019-12-28 0000050863 us-gaap:OtherLiabilitiesMember us-gaap:InterestRateContractMember us-gaap:DesignatedAsHedgingInstrumentMember 2020-03-28 0000050863 us-ga</w:t>
      </w:r>
      <w:r>
        <w:rPr>
          <w:rFonts w:ascii="Times New Roman" w:eastAsia="宋体" w:hAnsi="Times New Roman"/>
          <w:vanish/>
          <w:sz w:val="20"/>
          <w:szCs w:val="20"/>
        </w:rPr>
        <w:t>ap:OtherLiabilitiesMember us-gaap:DesignatedAsHedgingInstrumentMember 2020-03-28 0000050863 us-gaap:OtherAssetsMember us-gaap:NondesignatedMember 2020-03-28 0000050863 us-gaap:OtherAssetsMember us-gaap:InterestRateContractMember us-gaap:NondesignatedMember</w:t>
      </w:r>
      <w:r>
        <w:rPr>
          <w:rFonts w:ascii="Times New Roman" w:eastAsia="宋体" w:hAnsi="Times New Roman"/>
          <w:vanish/>
          <w:sz w:val="20"/>
          <w:szCs w:val="20"/>
        </w:rPr>
        <w:t xml:space="preserve"> 2020-03-28 0000050863 us-gaap:OtherAssetsMember us-gaap:InterestRateContractMember us-gaap:NondesignatedMember 2019-12-28 0000050863 us-gaap:OtherLiabilitiesMember us-gaap:NondesignatedMember 2019-12-28 0000050863 us-gaap:OtherLiabilitiesMember us-gaap:Ot</w:t>
      </w:r>
      <w:r>
        <w:rPr>
          <w:rFonts w:ascii="Times New Roman" w:eastAsia="宋体" w:hAnsi="Times New Roman"/>
          <w:vanish/>
          <w:sz w:val="20"/>
          <w:szCs w:val="20"/>
        </w:rPr>
        <w:t>herContractMember us-gaap:NondesignatedMember 2019-12-28 0000050863 us-gaap:OtherAssetsMember us-gaap:ForeignExchangeContractMember us-gaap:NondesignatedMember 2020-03-28 0000050863 us-gaap:OtherAssetsMember us-gaap:ForeignExchangeContractMember us-gaap:De</w:t>
      </w:r>
      <w:r>
        <w:rPr>
          <w:rFonts w:ascii="Times New Roman" w:eastAsia="宋体" w:hAnsi="Times New Roman"/>
          <w:vanish/>
          <w:sz w:val="20"/>
          <w:szCs w:val="20"/>
        </w:rPr>
        <w:t>signatedAsHedgingInstrumentMember 2020-03-28 0000050863 us-gaap:OtherLiabilitiesMember us-gaap:InterestRateContractMember us-gaap:NondesignatedMember 2020-03-28 0000050863 us-gaap:OtherContractMember 2019-12-28 0000050863 us-gaap:InterestRateContractMember</w:t>
      </w:r>
      <w:r>
        <w:rPr>
          <w:rFonts w:ascii="Times New Roman" w:eastAsia="宋体" w:hAnsi="Times New Roman"/>
          <w:vanish/>
          <w:sz w:val="20"/>
          <w:szCs w:val="20"/>
        </w:rPr>
        <w:t xml:space="preserve"> 2019-12-28 0000050863 us-gaap:ForeignExchangeContractMember 2019-12-28 0000050863 us-gaap:InterestRateContractMember 2020-03-28 0000050863 us-gaap:OtherContractMember 2020-03-28 0000050863 us-gaap:ForeignExchangeContractMember 2020-03-28 0000050863 us-gaa</w:t>
      </w:r>
      <w:r>
        <w:rPr>
          <w:rFonts w:ascii="Times New Roman" w:eastAsia="宋体" w:hAnsi="Times New Roman"/>
          <w:vanish/>
          <w:sz w:val="20"/>
          <w:szCs w:val="20"/>
        </w:rPr>
        <w:t>p:ForeignExchangeContractMember 2019-12-29 2020-03-28 0000050863 us-gaap:ForeignExchangeContractMember 2018-12-30 2019-03-30 0000050863 us-gaap:InterestRateContractMember 2018-12-30 2019-03-30 0000050863 us-gaap:InterestRateContractMember 2019-12-29 2020-0</w:t>
      </w:r>
      <w:r>
        <w:rPr>
          <w:rFonts w:ascii="Times New Roman" w:eastAsia="宋体" w:hAnsi="Times New Roman"/>
          <w:vanish/>
          <w:sz w:val="20"/>
          <w:szCs w:val="20"/>
        </w:rPr>
        <w:t xml:space="preserve">3-28 0000050863 intc:EcFineMember 2009-05-01 2009-05-31 iso4217:USD xbrli:pure iso4217:USD xbrli:shares xbrli:shares iso4217:EUR </w:t>
      </w:r>
    </w:p>
    <w:p w14:paraId="3750D5C5" w14:textId="77777777" w:rsidR="002541AD" w:rsidRDefault="00901AA6">
      <w:pPr>
        <w:spacing w:line="288" w:lineRule="auto"/>
        <w:jc w:val="center"/>
        <w:rPr>
          <w:rFonts w:ascii="Times New Roman" w:hAnsi="Times New Roman"/>
          <w:sz w:val="28"/>
          <w:szCs w:val="28"/>
        </w:rPr>
      </w:pPr>
      <w:r>
        <w:rPr>
          <w:rFonts w:ascii="Arial" w:eastAsia="宋体" w:hAnsi="Arial" w:cs="Arial"/>
          <w:b/>
          <w:bCs/>
          <w:color w:val="333333"/>
          <w:sz w:val="28"/>
          <w:szCs w:val="28"/>
        </w:rPr>
        <w:t>UNITED STATES SECURITIES AND EXCHANGE COMMISSION</w:t>
      </w:r>
    </w:p>
    <w:p w14:paraId="3750D5C6" w14:textId="77777777" w:rsidR="002541AD" w:rsidRDefault="00901AA6">
      <w:pPr>
        <w:spacing w:line="288" w:lineRule="auto"/>
        <w:jc w:val="center"/>
        <w:rPr>
          <w:rFonts w:ascii="Times New Roman" w:hAnsi="Times New Roman"/>
          <w:sz w:val="18"/>
          <w:szCs w:val="18"/>
        </w:rPr>
      </w:pPr>
      <w:r>
        <w:rPr>
          <w:rFonts w:ascii="Arial" w:eastAsia="宋体" w:hAnsi="Arial" w:cs="Arial"/>
          <w:color w:val="333333"/>
          <w:sz w:val="18"/>
          <w:szCs w:val="18"/>
        </w:rPr>
        <w:t>Washington, D.C. 20549</w:t>
      </w:r>
    </w:p>
    <w:p w14:paraId="3750D5C7" w14:textId="77777777" w:rsidR="002541AD" w:rsidRDefault="00901AA6">
      <w:pPr>
        <w:spacing w:line="288" w:lineRule="auto"/>
        <w:jc w:val="center"/>
        <w:rPr>
          <w:rFonts w:ascii="Times New Roman" w:hAnsi="Times New Roman"/>
          <w:sz w:val="36"/>
          <w:szCs w:val="36"/>
        </w:rPr>
      </w:pPr>
      <w:r>
        <w:rPr>
          <w:rFonts w:ascii="Arial" w:eastAsia="宋体" w:hAnsi="Arial" w:cs="Arial"/>
          <w:b/>
          <w:bCs/>
          <w:color w:val="333333"/>
          <w:sz w:val="36"/>
          <w:szCs w:val="36"/>
        </w:rPr>
        <w:t xml:space="preserve">FORM 10-Q </w:t>
      </w:r>
    </w:p>
    <w:p w14:paraId="3750D5C8" w14:textId="77777777" w:rsidR="002541AD" w:rsidRDefault="00901AA6">
      <w:pPr>
        <w:spacing w:line="288" w:lineRule="auto"/>
        <w:rPr>
          <w:rFonts w:ascii="Times New Roman" w:hAnsi="Times New Roman"/>
          <w:sz w:val="16"/>
          <w:szCs w:val="16"/>
        </w:rPr>
      </w:pPr>
      <w:r>
        <w:rPr>
          <w:rFonts w:ascii="Arial" w:eastAsia="宋体" w:hAnsi="Arial" w:cs="Arial"/>
          <w:color w:val="333333"/>
          <w:sz w:val="16"/>
          <w:szCs w:val="16"/>
        </w:rPr>
        <w:t>(Mark One)</w:t>
      </w:r>
    </w:p>
    <w:tbl>
      <w:tblPr>
        <w:tblW w:w="5000" w:type="pct"/>
        <w:tblCellMar>
          <w:left w:w="0" w:type="dxa"/>
          <w:right w:w="0" w:type="dxa"/>
        </w:tblCellMar>
        <w:tblLook w:val="04A0" w:firstRow="1" w:lastRow="0" w:firstColumn="1" w:lastColumn="0" w:noHBand="0" w:noVBand="1"/>
      </w:tblPr>
      <w:tblGrid>
        <w:gridCol w:w="130"/>
        <w:gridCol w:w="410"/>
        <w:gridCol w:w="2005"/>
        <w:gridCol w:w="5761"/>
      </w:tblGrid>
      <w:tr w:rsidR="002541AD" w14:paraId="3750D5CA" w14:textId="77777777">
        <w:tc>
          <w:tcPr>
            <w:tcW w:w="0" w:type="auto"/>
            <w:gridSpan w:val="4"/>
            <w:shd w:val="clear" w:color="auto" w:fill="auto"/>
            <w:vAlign w:val="center"/>
          </w:tcPr>
          <w:p w14:paraId="3750D5C9" w14:textId="77777777" w:rsidR="002541AD" w:rsidRDefault="002541AD">
            <w:pPr>
              <w:rPr>
                <w:rFonts w:ascii="Times New Roman" w:hAnsi="Times New Roman"/>
                <w:sz w:val="20"/>
                <w:szCs w:val="20"/>
              </w:rPr>
            </w:pPr>
          </w:p>
        </w:tc>
      </w:tr>
      <w:tr w:rsidR="002541AD" w14:paraId="3750D5CF" w14:textId="77777777">
        <w:tc>
          <w:tcPr>
            <w:tcW w:w="100" w:type="pct"/>
            <w:shd w:val="clear" w:color="auto" w:fill="auto"/>
            <w:vAlign w:val="center"/>
          </w:tcPr>
          <w:p w14:paraId="3750D5CB" w14:textId="77777777" w:rsidR="002541AD" w:rsidRDefault="002541AD">
            <w:pPr>
              <w:rPr>
                <w:rFonts w:ascii="Times New Roman" w:hAnsi="Times New Roman"/>
                <w:sz w:val="20"/>
                <w:szCs w:val="20"/>
              </w:rPr>
            </w:pPr>
          </w:p>
        </w:tc>
        <w:tc>
          <w:tcPr>
            <w:tcW w:w="150" w:type="pct"/>
            <w:shd w:val="clear" w:color="auto" w:fill="auto"/>
            <w:vAlign w:val="center"/>
          </w:tcPr>
          <w:p w14:paraId="3750D5CC" w14:textId="77777777" w:rsidR="002541AD" w:rsidRDefault="002541AD">
            <w:pPr>
              <w:rPr>
                <w:rFonts w:ascii="Times New Roman" w:hAnsi="Times New Roman"/>
                <w:sz w:val="20"/>
                <w:szCs w:val="20"/>
              </w:rPr>
            </w:pPr>
          </w:p>
        </w:tc>
        <w:tc>
          <w:tcPr>
            <w:tcW w:w="1250" w:type="pct"/>
            <w:shd w:val="clear" w:color="auto" w:fill="auto"/>
            <w:vAlign w:val="center"/>
          </w:tcPr>
          <w:p w14:paraId="3750D5CD" w14:textId="77777777" w:rsidR="002541AD" w:rsidRDefault="002541AD">
            <w:pPr>
              <w:rPr>
                <w:rFonts w:ascii="Times New Roman" w:hAnsi="Times New Roman"/>
                <w:sz w:val="20"/>
                <w:szCs w:val="20"/>
              </w:rPr>
            </w:pPr>
          </w:p>
        </w:tc>
        <w:tc>
          <w:tcPr>
            <w:tcW w:w="3500" w:type="pct"/>
            <w:shd w:val="clear" w:color="auto" w:fill="auto"/>
            <w:vAlign w:val="center"/>
          </w:tcPr>
          <w:p w14:paraId="3750D5CE" w14:textId="77777777" w:rsidR="002541AD" w:rsidRDefault="002541AD">
            <w:pPr>
              <w:rPr>
                <w:rFonts w:ascii="Times New Roman" w:hAnsi="Times New Roman"/>
                <w:sz w:val="20"/>
                <w:szCs w:val="20"/>
              </w:rPr>
            </w:pPr>
          </w:p>
        </w:tc>
      </w:tr>
      <w:tr w:rsidR="002541AD" w14:paraId="3750D5D3" w14:textId="77777777">
        <w:tc>
          <w:tcPr>
            <w:tcW w:w="0" w:type="auto"/>
            <w:shd w:val="clear" w:color="auto" w:fill="auto"/>
            <w:tcMar>
              <w:top w:w="40" w:type="dxa"/>
              <w:left w:w="40" w:type="dxa"/>
              <w:bottom w:w="40" w:type="dxa"/>
              <w:right w:w="40" w:type="dxa"/>
            </w:tcMar>
            <w:vAlign w:val="bottom"/>
          </w:tcPr>
          <w:p w14:paraId="3750D5D0"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w:t>
            </w:r>
          </w:p>
        </w:tc>
        <w:tc>
          <w:tcPr>
            <w:tcW w:w="0" w:type="auto"/>
            <w:shd w:val="clear" w:color="auto" w:fill="auto"/>
            <w:tcMar>
              <w:top w:w="40" w:type="dxa"/>
              <w:left w:w="40" w:type="dxa"/>
              <w:bottom w:w="40" w:type="dxa"/>
              <w:right w:w="40" w:type="dxa"/>
            </w:tcMar>
          </w:tcPr>
          <w:p w14:paraId="3750D5D1" w14:textId="77777777" w:rsidR="002541AD" w:rsidRDefault="00901AA6">
            <w:pPr>
              <w:textAlignment w:val="top"/>
              <w:rPr>
                <w:rFonts w:ascii="Times New Roman" w:hAnsi="Times New Roman"/>
              </w:rPr>
            </w:pPr>
            <w:r>
              <w:rPr>
                <w:rFonts w:ascii="Arial Unicode MS" w:eastAsia="Arial Unicode MS" w:hAnsi="Arial Unicode MS" w:cs="Arial Unicode MS"/>
                <w:b/>
                <w:bCs/>
                <w:color w:val="333333"/>
              </w:rPr>
              <w:t>☑</w:t>
            </w:r>
          </w:p>
        </w:tc>
        <w:tc>
          <w:tcPr>
            <w:tcW w:w="0" w:type="auto"/>
            <w:gridSpan w:val="2"/>
            <w:shd w:val="clear" w:color="auto" w:fill="auto"/>
            <w:tcMar>
              <w:top w:w="40" w:type="dxa"/>
              <w:left w:w="40" w:type="dxa"/>
              <w:bottom w:w="40" w:type="dxa"/>
              <w:right w:w="40" w:type="dxa"/>
            </w:tcMar>
          </w:tcPr>
          <w:p w14:paraId="3750D5D2"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 xml:space="preserve">QUARTERLY </w:t>
            </w:r>
            <w:r>
              <w:rPr>
                <w:rFonts w:ascii="Arial" w:eastAsia="宋体" w:hAnsi="Arial" w:cs="Arial"/>
                <w:color w:val="333333"/>
                <w:sz w:val="18"/>
                <w:szCs w:val="18"/>
              </w:rPr>
              <w:t>REPORT PURSUANT TO SECTION 13 OR 15(d) OF THE SECURITIES EXCHANGE ACT OF 1934</w:t>
            </w:r>
          </w:p>
        </w:tc>
      </w:tr>
      <w:tr w:rsidR="002541AD" w14:paraId="3750D5D8" w14:textId="77777777">
        <w:tc>
          <w:tcPr>
            <w:tcW w:w="0" w:type="auto"/>
            <w:shd w:val="clear" w:color="auto" w:fill="auto"/>
            <w:tcMar>
              <w:top w:w="40" w:type="dxa"/>
              <w:left w:w="40" w:type="dxa"/>
              <w:bottom w:w="40" w:type="dxa"/>
              <w:right w:w="40" w:type="dxa"/>
            </w:tcMar>
            <w:vAlign w:val="bottom"/>
          </w:tcPr>
          <w:p w14:paraId="3750D5D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5D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5D6"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For the quarterly period ended</w:t>
            </w:r>
          </w:p>
        </w:tc>
        <w:tc>
          <w:tcPr>
            <w:tcW w:w="0" w:type="auto"/>
            <w:shd w:val="clear" w:color="auto" w:fill="auto"/>
            <w:tcMar>
              <w:top w:w="40" w:type="dxa"/>
              <w:left w:w="40" w:type="dxa"/>
              <w:bottom w:w="40" w:type="dxa"/>
              <w:right w:w="40" w:type="dxa"/>
            </w:tcMar>
            <w:vAlign w:val="bottom"/>
          </w:tcPr>
          <w:p w14:paraId="3750D5D7"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March 28, 2020</w:t>
            </w:r>
          </w:p>
        </w:tc>
      </w:tr>
    </w:tbl>
    <w:p w14:paraId="3750D5D9" w14:textId="77777777" w:rsidR="002541AD" w:rsidRDefault="00901AA6">
      <w:pPr>
        <w:spacing w:line="288" w:lineRule="auto"/>
        <w:jc w:val="center"/>
        <w:rPr>
          <w:rFonts w:ascii="Times New Roman" w:hAnsi="Times New Roman"/>
          <w:sz w:val="16"/>
          <w:szCs w:val="16"/>
        </w:rPr>
      </w:pPr>
      <w:r>
        <w:rPr>
          <w:rFonts w:ascii="Arial" w:eastAsia="宋体" w:hAnsi="Arial" w:cs="Arial"/>
          <w:color w:val="333333"/>
          <w:sz w:val="16"/>
          <w:szCs w:val="16"/>
        </w:rPr>
        <w:t>Or</w:t>
      </w:r>
    </w:p>
    <w:tbl>
      <w:tblPr>
        <w:tblW w:w="5000" w:type="pct"/>
        <w:tblCellMar>
          <w:left w:w="0" w:type="dxa"/>
          <w:right w:w="0" w:type="dxa"/>
        </w:tblCellMar>
        <w:tblLook w:val="04A0" w:firstRow="1" w:lastRow="0" w:firstColumn="1" w:lastColumn="0" w:noHBand="0" w:noVBand="1"/>
      </w:tblPr>
      <w:tblGrid>
        <w:gridCol w:w="147"/>
        <w:gridCol w:w="287"/>
        <w:gridCol w:w="7872"/>
      </w:tblGrid>
      <w:tr w:rsidR="002541AD" w14:paraId="3750D5DB" w14:textId="77777777">
        <w:tc>
          <w:tcPr>
            <w:tcW w:w="0" w:type="auto"/>
            <w:gridSpan w:val="3"/>
            <w:shd w:val="clear" w:color="auto" w:fill="auto"/>
            <w:vAlign w:val="center"/>
          </w:tcPr>
          <w:p w14:paraId="3750D5DA" w14:textId="77777777" w:rsidR="002541AD" w:rsidRDefault="002541AD">
            <w:pPr>
              <w:rPr>
                <w:rFonts w:ascii="Times New Roman" w:hAnsi="Times New Roman"/>
                <w:sz w:val="20"/>
                <w:szCs w:val="20"/>
              </w:rPr>
            </w:pPr>
          </w:p>
        </w:tc>
      </w:tr>
      <w:tr w:rsidR="002541AD" w14:paraId="3750D5DF" w14:textId="77777777">
        <w:tc>
          <w:tcPr>
            <w:tcW w:w="100" w:type="pct"/>
            <w:shd w:val="clear" w:color="auto" w:fill="auto"/>
            <w:vAlign w:val="center"/>
          </w:tcPr>
          <w:p w14:paraId="3750D5DC" w14:textId="77777777" w:rsidR="002541AD" w:rsidRDefault="002541AD">
            <w:pPr>
              <w:rPr>
                <w:rFonts w:ascii="Times New Roman" w:hAnsi="Times New Roman"/>
                <w:sz w:val="20"/>
                <w:szCs w:val="20"/>
              </w:rPr>
            </w:pPr>
          </w:p>
        </w:tc>
        <w:tc>
          <w:tcPr>
            <w:tcW w:w="150" w:type="pct"/>
            <w:shd w:val="clear" w:color="auto" w:fill="auto"/>
            <w:vAlign w:val="center"/>
          </w:tcPr>
          <w:p w14:paraId="3750D5DD" w14:textId="77777777" w:rsidR="002541AD" w:rsidRDefault="002541AD">
            <w:pPr>
              <w:rPr>
                <w:rFonts w:ascii="Times New Roman" w:hAnsi="Times New Roman"/>
                <w:sz w:val="20"/>
                <w:szCs w:val="20"/>
              </w:rPr>
            </w:pPr>
          </w:p>
        </w:tc>
        <w:tc>
          <w:tcPr>
            <w:tcW w:w="4750" w:type="pct"/>
            <w:shd w:val="clear" w:color="auto" w:fill="auto"/>
            <w:vAlign w:val="center"/>
          </w:tcPr>
          <w:p w14:paraId="3750D5DE" w14:textId="77777777" w:rsidR="002541AD" w:rsidRDefault="002541AD">
            <w:pPr>
              <w:rPr>
                <w:rFonts w:ascii="Times New Roman" w:hAnsi="Times New Roman"/>
                <w:sz w:val="20"/>
                <w:szCs w:val="20"/>
              </w:rPr>
            </w:pPr>
          </w:p>
        </w:tc>
      </w:tr>
      <w:tr w:rsidR="002541AD" w14:paraId="3750D5E3" w14:textId="77777777">
        <w:tc>
          <w:tcPr>
            <w:tcW w:w="0" w:type="auto"/>
            <w:shd w:val="clear" w:color="auto" w:fill="auto"/>
            <w:tcMar>
              <w:top w:w="40" w:type="dxa"/>
              <w:left w:w="40" w:type="dxa"/>
              <w:bottom w:w="40" w:type="dxa"/>
              <w:right w:w="40" w:type="dxa"/>
            </w:tcMar>
            <w:vAlign w:val="bottom"/>
          </w:tcPr>
          <w:p w14:paraId="3750D5E0"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w:t>
            </w:r>
          </w:p>
        </w:tc>
        <w:tc>
          <w:tcPr>
            <w:tcW w:w="0" w:type="auto"/>
            <w:shd w:val="clear" w:color="auto" w:fill="auto"/>
            <w:tcMar>
              <w:top w:w="40" w:type="dxa"/>
              <w:left w:w="40" w:type="dxa"/>
              <w:bottom w:w="40" w:type="dxa"/>
              <w:right w:w="40" w:type="dxa"/>
            </w:tcMar>
          </w:tcPr>
          <w:p w14:paraId="3750D5E1" w14:textId="77777777" w:rsidR="002541AD" w:rsidRDefault="00901AA6">
            <w:pPr>
              <w:textAlignment w:val="top"/>
              <w:rPr>
                <w:rFonts w:ascii="Times New Roman" w:hAnsi="Times New Roman"/>
              </w:rPr>
            </w:pPr>
            <w:r>
              <w:rPr>
                <w:rFonts w:ascii="Arial Unicode MS" w:eastAsia="Arial Unicode MS" w:hAnsi="Arial Unicode MS" w:cs="Arial Unicode MS" w:hint="eastAsia"/>
                <w:color w:val="333333"/>
              </w:rPr>
              <w:t>☐</w:t>
            </w:r>
          </w:p>
        </w:tc>
        <w:tc>
          <w:tcPr>
            <w:tcW w:w="0" w:type="auto"/>
            <w:shd w:val="clear" w:color="auto" w:fill="auto"/>
            <w:tcMar>
              <w:top w:w="40" w:type="dxa"/>
              <w:left w:w="40" w:type="dxa"/>
              <w:bottom w:w="40" w:type="dxa"/>
              <w:right w:w="40" w:type="dxa"/>
            </w:tcMar>
          </w:tcPr>
          <w:p w14:paraId="3750D5E2"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TRANSITION REPORT PURSUANT TO SECTION 13 OR 15(d) OF THE SECURITIES EXCHANGE ACT OF 1934</w:t>
            </w:r>
          </w:p>
        </w:tc>
      </w:tr>
      <w:tr w:rsidR="002541AD" w14:paraId="3750D5E7" w14:textId="77777777">
        <w:tc>
          <w:tcPr>
            <w:tcW w:w="0" w:type="auto"/>
            <w:shd w:val="clear" w:color="auto" w:fill="auto"/>
            <w:tcMar>
              <w:top w:w="40" w:type="dxa"/>
              <w:left w:w="40" w:type="dxa"/>
              <w:bottom w:w="40" w:type="dxa"/>
              <w:right w:w="40" w:type="dxa"/>
            </w:tcMar>
            <w:vAlign w:val="bottom"/>
          </w:tcPr>
          <w:p w14:paraId="3750D5E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5E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5E6"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xml:space="preserve">For the transition period from </w:t>
            </w:r>
            <w:r>
              <w:rPr>
                <w:rFonts w:ascii="Arial" w:eastAsia="宋体" w:hAnsi="Arial" w:cs="Arial"/>
                <w:color w:val="333333"/>
                <w:sz w:val="18"/>
                <w:szCs w:val="18"/>
                <w:u w:val="single"/>
              </w:rPr>
              <w:t>                </w:t>
            </w:r>
            <w:r>
              <w:rPr>
                <w:rFonts w:ascii="Arial" w:eastAsia="宋体" w:hAnsi="Arial" w:cs="Arial"/>
                <w:color w:val="333333"/>
                <w:sz w:val="18"/>
                <w:szCs w:val="18"/>
              </w:rPr>
              <w:t xml:space="preserve"> to </w:t>
            </w:r>
            <w:r>
              <w:rPr>
                <w:rFonts w:ascii="Arial" w:eastAsia="宋体" w:hAnsi="Arial" w:cs="Arial"/>
                <w:color w:val="333333"/>
                <w:sz w:val="18"/>
                <w:szCs w:val="18"/>
                <w:u w:val="single"/>
              </w:rPr>
              <w:t>                </w:t>
            </w:r>
          </w:p>
        </w:tc>
      </w:tr>
    </w:tbl>
    <w:p w14:paraId="3750D5E8" w14:textId="77777777" w:rsidR="002541AD" w:rsidRDefault="00901AA6">
      <w:pPr>
        <w:spacing w:line="288" w:lineRule="auto"/>
        <w:jc w:val="center"/>
        <w:rPr>
          <w:rFonts w:ascii="Times New Roman" w:hAnsi="Times New Roman"/>
          <w:sz w:val="18"/>
          <w:szCs w:val="18"/>
        </w:rPr>
      </w:pPr>
      <w:r>
        <w:rPr>
          <w:rFonts w:ascii="Arial" w:eastAsia="宋体" w:hAnsi="Arial" w:cs="Arial"/>
          <w:color w:val="333333"/>
          <w:sz w:val="18"/>
          <w:szCs w:val="18"/>
        </w:rPr>
        <w:t xml:space="preserve">Commission File Number </w:t>
      </w:r>
      <w:r>
        <w:rPr>
          <w:rFonts w:ascii="Arial" w:eastAsia="宋体" w:hAnsi="Arial" w:cs="Arial"/>
          <w:color w:val="333333"/>
          <w:sz w:val="18"/>
          <w:szCs w:val="18"/>
          <w:u w:val="single"/>
        </w:rPr>
        <w:t>000-06217</w:t>
      </w:r>
      <w:r>
        <w:rPr>
          <w:rFonts w:ascii="Arial" w:eastAsia="宋体" w:hAnsi="Arial" w:cs="Arial"/>
          <w:color w:val="333333"/>
          <w:sz w:val="18"/>
          <w:szCs w:val="18"/>
        </w:rPr>
        <w:t xml:space="preserve"> </w:t>
      </w:r>
    </w:p>
    <w:p w14:paraId="3750D5E9" w14:textId="77777777" w:rsidR="002541AD" w:rsidRDefault="00901AA6">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Viewer11_files/a001intellogocolor_cover.jpg"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3750F835" wp14:editId="3750F836">
            <wp:extent cx="304800" cy="304800"/>
            <wp:effectExtent l="0" t="0" r="0" b="0"/>
            <wp:docPr id="4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3750D5EA" w14:textId="77777777" w:rsidR="002541AD" w:rsidRDefault="00901AA6">
      <w:pPr>
        <w:spacing w:line="288" w:lineRule="auto"/>
        <w:jc w:val="center"/>
        <w:rPr>
          <w:rFonts w:ascii="Times New Roman" w:hAnsi="Times New Roman"/>
          <w:sz w:val="36"/>
          <w:szCs w:val="36"/>
        </w:rPr>
      </w:pPr>
      <w:r>
        <w:rPr>
          <w:rFonts w:ascii="Arial" w:eastAsia="宋体" w:hAnsi="Arial" w:cs="Arial"/>
          <w:b/>
          <w:bCs/>
          <w:color w:val="333333"/>
          <w:sz w:val="36"/>
          <w:szCs w:val="36"/>
        </w:rPr>
        <w:t xml:space="preserve">INTEL CORPORATION </w:t>
      </w:r>
    </w:p>
    <w:p w14:paraId="3750D5EB" w14:textId="77777777" w:rsidR="002541AD" w:rsidRDefault="00901AA6">
      <w:pPr>
        <w:spacing w:line="288" w:lineRule="auto"/>
        <w:jc w:val="center"/>
        <w:rPr>
          <w:rFonts w:ascii="Times New Roman" w:hAnsi="Times New Roman"/>
          <w:sz w:val="18"/>
          <w:szCs w:val="18"/>
        </w:rPr>
      </w:pPr>
      <w:r>
        <w:rPr>
          <w:rFonts w:ascii="Arial" w:eastAsia="宋体" w:hAnsi="Arial" w:cs="Arial"/>
          <w:color w:val="333333"/>
          <w:sz w:val="18"/>
          <w:szCs w:val="18"/>
        </w:rPr>
        <w:t>(Exact name of registrant as specified in its charter)</w:t>
      </w:r>
    </w:p>
    <w:tbl>
      <w:tblPr>
        <w:tblW w:w="11460" w:type="dxa"/>
        <w:jc w:val="center"/>
        <w:tblCellMar>
          <w:left w:w="0" w:type="dxa"/>
          <w:right w:w="0" w:type="dxa"/>
        </w:tblCellMar>
        <w:tblLook w:val="04A0" w:firstRow="1" w:lastRow="0" w:firstColumn="1" w:lastColumn="0" w:noHBand="0" w:noVBand="1"/>
      </w:tblPr>
      <w:tblGrid>
        <w:gridCol w:w="4275"/>
        <w:gridCol w:w="1519"/>
        <w:gridCol w:w="1200"/>
        <w:gridCol w:w="130"/>
        <w:gridCol w:w="4336"/>
      </w:tblGrid>
      <w:tr w:rsidR="002541AD" w14:paraId="3750D5ED" w14:textId="77777777">
        <w:trPr>
          <w:jc w:val="center"/>
        </w:trPr>
        <w:tc>
          <w:tcPr>
            <w:tcW w:w="0" w:type="auto"/>
            <w:gridSpan w:val="5"/>
            <w:shd w:val="clear" w:color="auto" w:fill="auto"/>
            <w:vAlign w:val="center"/>
          </w:tcPr>
          <w:p w14:paraId="3750D5EC" w14:textId="77777777" w:rsidR="002541AD" w:rsidRDefault="002541AD">
            <w:pPr>
              <w:rPr>
                <w:rFonts w:ascii="Times New Roman" w:hAnsi="Times New Roman"/>
                <w:sz w:val="20"/>
                <w:szCs w:val="20"/>
              </w:rPr>
            </w:pPr>
          </w:p>
        </w:tc>
      </w:tr>
      <w:tr w:rsidR="002541AD" w14:paraId="3750D5F3" w14:textId="77777777">
        <w:trPr>
          <w:jc w:val="center"/>
        </w:trPr>
        <w:tc>
          <w:tcPr>
            <w:tcW w:w="4280" w:type="dxa"/>
            <w:shd w:val="clear" w:color="auto" w:fill="auto"/>
            <w:vAlign w:val="center"/>
          </w:tcPr>
          <w:p w14:paraId="3750D5EE" w14:textId="77777777" w:rsidR="002541AD" w:rsidRDefault="002541AD">
            <w:pPr>
              <w:rPr>
                <w:rFonts w:ascii="Times New Roman" w:hAnsi="Times New Roman"/>
                <w:sz w:val="20"/>
                <w:szCs w:val="20"/>
              </w:rPr>
            </w:pPr>
          </w:p>
        </w:tc>
        <w:tc>
          <w:tcPr>
            <w:tcW w:w="1520" w:type="dxa"/>
            <w:shd w:val="clear" w:color="auto" w:fill="auto"/>
            <w:vAlign w:val="center"/>
          </w:tcPr>
          <w:p w14:paraId="3750D5EF" w14:textId="77777777" w:rsidR="002541AD" w:rsidRDefault="002541AD">
            <w:pPr>
              <w:rPr>
                <w:rFonts w:ascii="Times New Roman" w:hAnsi="Times New Roman"/>
                <w:sz w:val="20"/>
                <w:szCs w:val="20"/>
              </w:rPr>
            </w:pPr>
          </w:p>
        </w:tc>
        <w:tc>
          <w:tcPr>
            <w:tcW w:w="1200" w:type="dxa"/>
            <w:shd w:val="clear" w:color="auto" w:fill="auto"/>
            <w:vAlign w:val="center"/>
          </w:tcPr>
          <w:p w14:paraId="3750D5F0" w14:textId="77777777" w:rsidR="002541AD" w:rsidRDefault="002541AD">
            <w:pPr>
              <w:rPr>
                <w:rFonts w:ascii="Times New Roman" w:hAnsi="Times New Roman"/>
                <w:sz w:val="20"/>
                <w:szCs w:val="20"/>
              </w:rPr>
            </w:pPr>
          </w:p>
        </w:tc>
        <w:tc>
          <w:tcPr>
            <w:tcW w:w="100" w:type="dxa"/>
            <w:shd w:val="clear" w:color="auto" w:fill="auto"/>
            <w:vAlign w:val="center"/>
          </w:tcPr>
          <w:p w14:paraId="3750D5F1" w14:textId="77777777" w:rsidR="002541AD" w:rsidRDefault="002541AD">
            <w:pPr>
              <w:rPr>
                <w:rFonts w:ascii="Times New Roman" w:hAnsi="Times New Roman"/>
                <w:sz w:val="20"/>
                <w:szCs w:val="20"/>
              </w:rPr>
            </w:pPr>
          </w:p>
        </w:tc>
        <w:tc>
          <w:tcPr>
            <w:tcW w:w="4340" w:type="dxa"/>
            <w:shd w:val="clear" w:color="auto" w:fill="auto"/>
            <w:vAlign w:val="center"/>
          </w:tcPr>
          <w:p w14:paraId="3750D5F2" w14:textId="77777777" w:rsidR="002541AD" w:rsidRDefault="002541AD">
            <w:pPr>
              <w:rPr>
                <w:rFonts w:ascii="Times New Roman" w:hAnsi="Times New Roman"/>
                <w:sz w:val="20"/>
                <w:szCs w:val="20"/>
              </w:rPr>
            </w:pPr>
          </w:p>
        </w:tc>
      </w:tr>
      <w:tr w:rsidR="002541AD" w14:paraId="3750D5F9" w14:textId="77777777">
        <w:trPr>
          <w:jc w:val="center"/>
        </w:trPr>
        <w:tc>
          <w:tcPr>
            <w:tcW w:w="0" w:type="auto"/>
            <w:shd w:val="clear" w:color="auto" w:fill="auto"/>
            <w:tcMar>
              <w:top w:w="40" w:type="dxa"/>
              <w:left w:w="40" w:type="dxa"/>
              <w:bottom w:w="40" w:type="dxa"/>
              <w:right w:w="40" w:type="dxa"/>
            </w:tcMar>
            <w:vAlign w:val="bottom"/>
          </w:tcPr>
          <w:p w14:paraId="3750D5F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5F5"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u w:val="single"/>
              </w:rPr>
              <w:t>Delaware</w:t>
            </w:r>
          </w:p>
        </w:tc>
        <w:tc>
          <w:tcPr>
            <w:tcW w:w="0" w:type="auto"/>
            <w:shd w:val="clear" w:color="auto" w:fill="auto"/>
            <w:tcMar>
              <w:top w:w="40" w:type="dxa"/>
              <w:left w:w="40" w:type="dxa"/>
              <w:bottom w:w="40" w:type="dxa"/>
              <w:right w:w="40" w:type="dxa"/>
            </w:tcMar>
            <w:vAlign w:val="bottom"/>
          </w:tcPr>
          <w:p w14:paraId="3750D5F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5F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5F8" w14:textId="77777777" w:rsidR="002541AD" w:rsidRDefault="00901AA6">
            <w:pPr>
              <w:jc w:val="center"/>
              <w:textAlignment w:val="bottom"/>
              <w:rPr>
                <w:rFonts w:ascii="Times New Roman" w:hAnsi="Times New Roman"/>
                <w:sz w:val="18"/>
                <w:szCs w:val="18"/>
              </w:rPr>
            </w:pPr>
            <w:r>
              <w:rPr>
                <w:rFonts w:ascii="Arial" w:eastAsia="宋体" w:hAnsi="Arial" w:cs="Arial"/>
                <w:color w:val="333333"/>
                <w:sz w:val="18"/>
                <w:szCs w:val="18"/>
                <w:u w:val="single"/>
              </w:rPr>
              <w:t>94-1672743</w:t>
            </w:r>
          </w:p>
        </w:tc>
      </w:tr>
      <w:tr w:rsidR="002541AD" w14:paraId="3750D5FD" w14:textId="77777777">
        <w:trPr>
          <w:jc w:val="center"/>
        </w:trPr>
        <w:tc>
          <w:tcPr>
            <w:tcW w:w="0" w:type="auto"/>
            <w:gridSpan w:val="3"/>
            <w:shd w:val="clear" w:color="auto" w:fill="auto"/>
            <w:tcMar>
              <w:top w:w="40" w:type="dxa"/>
              <w:left w:w="40" w:type="dxa"/>
              <w:bottom w:w="40" w:type="dxa"/>
              <w:right w:w="40" w:type="dxa"/>
            </w:tcMar>
            <w:vAlign w:val="bottom"/>
          </w:tcPr>
          <w:p w14:paraId="3750D5FA" w14:textId="77777777" w:rsidR="002541AD" w:rsidRDefault="00901AA6">
            <w:pPr>
              <w:jc w:val="center"/>
              <w:textAlignment w:val="bottom"/>
              <w:rPr>
                <w:rFonts w:ascii="Times New Roman" w:hAnsi="Times New Roman"/>
                <w:sz w:val="18"/>
                <w:szCs w:val="18"/>
              </w:rPr>
            </w:pPr>
            <w:r>
              <w:rPr>
                <w:rFonts w:ascii="Arial" w:eastAsia="宋体" w:hAnsi="Arial" w:cs="Arial"/>
                <w:color w:val="333333"/>
                <w:sz w:val="18"/>
                <w:szCs w:val="18"/>
              </w:rPr>
              <w:t>(State or other jurisdiction of incorporation or organization)</w:t>
            </w:r>
          </w:p>
        </w:tc>
        <w:tc>
          <w:tcPr>
            <w:tcW w:w="0" w:type="auto"/>
            <w:shd w:val="clear" w:color="auto" w:fill="auto"/>
            <w:tcMar>
              <w:top w:w="40" w:type="dxa"/>
              <w:left w:w="40" w:type="dxa"/>
              <w:bottom w:w="40" w:type="dxa"/>
              <w:right w:w="40" w:type="dxa"/>
            </w:tcMar>
            <w:vAlign w:val="bottom"/>
          </w:tcPr>
          <w:p w14:paraId="3750D5F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5FC" w14:textId="77777777" w:rsidR="002541AD" w:rsidRDefault="00901AA6">
            <w:pPr>
              <w:jc w:val="center"/>
              <w:textAlignment w:val="bottom"/>
              <w:rPr>
                <w:rFonts w:ascii="Times New Roman" w:hAnsi="Times New Roman"/>
                <w:sz w:val="18"/>
                <w:szCs w:val="18"/>
              </w:rPr>
            </w:pPr>
            <w:r>
              <w:rPr>
                <w:rFonts w:ascii="Arial" w:eastAsia="宋体" w:hAnsi="Arial" w:cs="Arial"/>
                <w:color w:val="333333"/>
                <w:sz w:val="18"/>
                <w:szCs w:val="18"/>
              </w:rPr>
              <w:t>(I.R.S. Employer Identification No.)</w:t>
            </w:r>
          </w:p>
        </w:tc>
      </w:tr>
      <w:tr w:rsidR="002541AD" w14:paraId="3750D603" w14:textId="77777777">
        <w:trPr>
          <w:jc w:val="center"/>
        </w:trPr>
        <w:tc>
          <w:tcPr>
            <w:tcW w:w="0" w:type="auto"/>
            <w:shd w:val="clear" w:color="auto" w:fill="auto"/>
            <w:tcMar>
              <w:top w:w="40" w:type="dxa"/>
              <w:left w:w="40" w:type="dxa"/>
              <w:bottom w:w="40" w:type="dxa"/>
              <w:right w:w="40" w:type="dxa"/>
            </w:tcMar>
          </w:tcPr>
          <w:p w14:paraId="3750D5FE"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u w:val="single"/>
              </w:rPr>
              <w:t xml:space="preserve">2200 Mission College Boulevard, </w:t>
            </w:r>
          </w:p>
        </w:tc>
        <w:tc>
          <w:tcPr>
            <w:tcW w:w="0" w:type="auto"/>
            <w:shd w:val="clear" w:color="auto" w:fill="auto"/>
            <w:tcMar>
              <w:top w:w="40" w:type="dxa"/>
              <w:left w:w="40" w:type="dxa"/>
              <w:bottom w:w="40" w:type="dxa"/>
              <w:right w:w="40" w:type="dxa"/>
            </w:tcMar>
          </w:tcPr>
          <w:p w14:paraId="3750D5FF"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u w:val="single"/>
              </w:rPr>
              <w:t xml:space="preserve">Santa Clara, </w:t>
            </w:r>
          </w:p>
        </w:tc>
        <w:tc>
          <w:tcPr>
            <w:tcW w:w="0" w:type="auto"/>
            <w:shd w:val="clear" w:color="auto" w:fill="auto"/>
            <w:tcMar>
              <w:top w:w="40" w:type="dxa"/>
              <w:left w:w="40" w:type="dxa"/>
              <w:bottom w:w="40" w:type="dxa"/>
              <w:right w:w="40" w:type="dxa"/>
            </w:tcMar>
          </w:tcPr>
          <w:p w14:paraId="3750D600"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u w:val="single"/>
              </w:rPr>
              <w:t>California</w:t>
            </w:r>
          </w:p>
        </w:tc>
        <w:tc>
          <w:tcPr>
            <w:tcW w:w="0" w:type="auto"/>
            <w:shd w:val="clear" w:color="auto" w:fill="auto"/>
            <w:tcMar>
              <w:top w:w="40" w:type="dxa"/>
              <w:left w:w="40" w:type="dxa"/>
              <w:bottom w:w="40" w:type="dxa"/>
              <w:right w:w="40" w:type="dxa"/>
            </w:tcMar>
            <w:vAlign w:val="bottom"/>
          </w:tcPr>
          <w:p w14:paraId="3750D60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D602"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u w:val="single"/>
              </w:rPr>
              <w:t>95054-1549</w:t>
            </w:r>
          </w:p>
        </w:tc>
      </w:tr>
      <w:tr w:rsidR="002541AD" w14:paraId="3750D607" w14:textId="77777777">
        <w:trPr>
          <w:jc w:val="center"/>
        </w:trPr>
        <w:tc>
          <w:tcPr>
            <w:tcW w:w="0" w:type="auto"/>
            <w:gridSpan w:val="3"/>
            <w:shd w:val="clear" w:color="auto" w:fill="auto"/>
            <w:tcMar>
              <w:top w:w="40" w:type="dxa"/>
              <w:left w:w="40" w:type="dxa"/>
              <w:bottom w:w="40" w:type="dxa"/>
              <w:right w:w="40" w:type="dxa"/>
            </w:tcMar>
          </w:tcPr>
          <w:p w14:paraId="3750D604"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(Address of principal executive offices)</w:t>
            </w:r>
          </w:p>
        </w:tc>
        <w:tc>
          <w:tcPr>
            <w:tcW w:w="0" w:type="auto"/>
            <w:shd w:val="clear" w:color="auto" w:fill="auto"/>
            <w:tcMar>
              <w:top w:w="40" w:type="dxa"/>
              <w:left w:w="40" w:type="dxa"/>
              <w:bottom w:w="40" w:type="dxa"/>
              <w:right w:w="40" w:type="dxa"/>
            </w:tcMar>
            <w:vAlign w:val="bottom"/>
          </w:tcPr>
          <w:p w14:paraId="3750D60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D606"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(Zip Code)</w:t>
            </w:r>
          </w:p>
        </w:tc>
      </w:tr>
    </w:tbl>
    <w:p w14:paraId="3750D608" w14:textId="77777777" w:rsidR="002541AD" w:rsidRDefault="00901AA6">
      <w:pPr>
        <w:spacing w:line="288" w:lineRule="auto"/>
        <w:jc w:val="center"/>
        <w:rPr>
          <w:rFonts w:ascii="Times New Roman" w:hAnsi="Times New Roman"/>
          <w:sz w:val="18"/>
          <w:szCs w:val="18"/>
        </w:rPr>
      </w:pPr>
      <w:r>
        <w:rPr>
          <w:rFonts w:ascii="Arial" w:eastAsia="宋体" w:hAnsi="Arial" w:cs="Arial"/>
          <w:color w:val="333333"/>
          <w:sz w:val="18"/>
          <w:szCs w:val="18"/>
          <w:u w:val="single"/>
        </w:rPr>
        <w:t xml:space="preserve">(408) 765-8080 </w:t>
      </w:r>
    </w:p>
    <w:p w14:paraId="3750D609" w14:textId="77777777" w:rsidR="002541AD" w:rsidRDefault="00901AA6">
      <w:pPr>
        <w:spacing w:line="288" w:lineRule="auto"/>
        <w:jc w:val="center"/>
        <w:rPr>
          <w:rFonts w:ascii="Times New Roman" w:hAnsi="Times New Roman"/>
          <w:sz w:val="18"/>
          <w:szCs w:val="18"/>
        </w:rPr>
      </w:pPr>
      <w:r>
        <w:rPr>
          <w:rFonts w:ascii="Arial" w:eastAsia="宋体" w:hAnsi="Arial" w:cs="Arial"/>
          <w:color w:val="333333"/>
          <w:sz w:val="18"/>
          <w:szCs w:val="18"/>
        </w:rPr>
        <w:t>(Registrant’s telephone number, including area code)</w:t>
      </w:r>
    </w:p>
    <w:p w14:paraId="3750D60A" w14:textId="77777777" w:rsidR="002541AD" w:rsidRDefault="00901AA6">
      <w:pPr>
        <w:spacing w:line="288" w:lineRule="auto"/>
        <w:jc w:val="center"/>
        <w:rPr>
          <w:rFonts w:ascii="Times New Roman" w:hAnsi="Times New Roman"/>
          <w:sz w:val="18"/>
          <w:szCs w:val="18"/>
        </w:rPr>
      </w:pPr>
      <w:r>
        <w:rPr>
          <w:rFonts w:ascii="Arial" w:eastAsia="宋体" w:hAnsi="Arial" w:cs="Arial"/>
          <w:color w:val="333333"/>
          <w:sz w:val="18"/>
          <w:szCs w:val="18"/>
          <w:u w:val="single"/>
        </w:rPr>
        <w:t>N/A</w:t>
      </w:r>
    </w:p>
    <w:p w14:paraId="3750D60B" w14:textId="77777777" w:rsidR="002541AD" w:rsidRDefault="00901AA6">
      <w:pPr>
        <w:spacing w:line="288" w:lineRule="auto"/>
        <w:jc w:val="center"/>
        <w:rPr>
          <w:rFonts w:ascii="Times New Roman" w:hAnsi="Times New Roman"/>
          <w:sz w:val="18"/>
          <w:szCs w:val="18"/>
        </w:rPr>
      </w:pPr>
      <w:r>
        <w:rPr>
          <w:rFonts w:ascii="Arial" w:eastAsia="宋体" w:hAnsi="Arial" w:cs="Arial"/>
          <w:color w:val="333333"/>
          <w:sz w:val="18"/>
          <w:szCs w:val="18"/>
        </w:rPr>
        <w:t>(Former name, former address and former fiscal year, if changed since last report)</w:t>
      </w:r>
    </w:p>
    <w:p w14:paraId="3750D60C"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Securities registered pursuant to Section 12(b) of the Act:</w:t>
      </w:r>
    </w:p>
    <w:tbl>
      <w:tblPr>
        <w:tblW w:w="5000" w:type="pct"/>
        <w:tblCellMar>
          <w:left w:w="0" w:type="dxa"/>
          <w:right w:w="0" w:type="dxa"/>
        </w:tblCellMar>
        <w:tblLook w:val="04A0" w:firstRow="1" w:lastRow="0" w:firstColumn="1" w:lastColumn="0" w:noHBand="0" w:noVBand="1"/>
      </w:tblPr>
      <w:tblGrid>
        <w:gridCol w:w="2658"/>
        <w:gridCol w:w="1910"/>
        <w:gridCol w:w="3738"/>
      </w:tblGrid>
      <w:tr w:rsidR="002541AD" w14:paraId="3750D60E" w14:textId="77777777">
        <w:tc>
          <w:tcPr>
            <w:tcW w:w="0" w:type="auto"/>
            <w:gridSpan w:val="3"/>
            <w:shd w:val="clear" w:color="auto" w:fill="auto"/>
            <w:vAlign w:val="center"/>
          </w:tcPr>
          <w:p w14:paraId="3750D60D" w14:textId="77777777" w:rsidR="002541AD" w:rsidRDefault="002541AD">
            <w:pPr>
              <w:rPr>
                <w:rFonts w:ascii="Times New Roman" w:hAnsi="Times New Roman"/>
                <w:sz w:val="20"/>
                <w:szCs w:val="20"/>
              </w:rPr>
            </w:pPr>
          </w:p>
        </w:tc>
      </w:tr>
      <w:tr w:rsidR="002541AD" w14:paraId="3750D612" w14:textId="77777777">
        <w:tc>
          <w:tcPr>
            <w:tcW w:w="1600" w:type="pct"/>
            <w:shd w:val="clear" w:color="auto" w:fill="auto"/>
            <w:vAlign w:val="center"/>
          </w:tcPr>
          <w:p w14:paraId="3750D60F" w14:textId="77777777" w:rsidR="002541AD" w:rsidRDefault="002541AD">
            <w:pPr>
              <w:rPr>
                <w:rFonts w:ascii="Times New Roman" w:hAnsi="Times New Roman"/>
                <w:sz w:val="20"/>
                <w:szCs w:val="20"/>
              </w:rPr>
            </w:pPr>
          </w:p>
        </w:tc>
        <w:tc>
          <w:tcPr>
            <w:tcW w:w="1150" w:type="pct"/>
            <w:shd w:val="clear" w:color="auto" w:fill="auto"/>
            <w:vAlign w:val="center"/>
          </w:tcPr>
          <w:p w14:paraId="3750D610" w14:textId="77777777" w:rsidR="002541AD" w:rsidRDefault="002541AD">
            <w:pPr>
              <w:rPr>
                <w:rFonts w:ascii="Times New Roman" w:hAnsi="Times New Roman"/>
                <w:sz w:val="20"/>
                <w:szCs w:val="20"/>
              </w:rPr>
            </w:pPr>
          </w:p>
        </w:tc>
        <w:tc>
          <w:tcPr>
            <w:tcW w:w="2250" w:type="pct"/>
            <w:shd w:val="clear" w:color="auto" w:fill="auto"/>
            <w:vAlign w:val="center"/>
          </w:tcPr>
          <w:p w14:paraId="3750D611" w14:textId="77777777" w:rsidR="002541AD" w:rsidRDefault="002541AD">
            <w:pPr>
              <w:rPr>
                <w:rFonts w:ascii="Times New Roman" w:hAnsi="Times New Roman"/>
                <w:sz w:val="20"/>
                <w:szCs w:val="20"/>
              </w:rPr>
            </w:pPr>
          </w:p>
        </w:tc>
      </w:tr>
      <w:tr w:rsidR="002541AD" w14:paraId="3750D616" w14:textId="77777777">
        <w:tc>
          <w:tcPr>
            <w:tcW w:w="0" w:type="auto"/>
            <w:shd w:val="clear" w:color="auto" w:fill="auto"/>
            <w:tcMar>
              <w:top w:w="40" w:type="dxa"/>
              <w:left w:w="40" w:type="dxa"/>
              <w:bottom w:w="40" w:type="dxa"/>
              <w:right w:w="40" w:type="dxa"/>
            </w:tcMar>
          </w:tcPr>
          <w:p w14:paraId="3750D613"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Title of each class</w:t>
            </w:r>
          </w:p>
        </w:tc>
        <w:tc>
          <w:tcPr>
            <w:tcW w:w="0" w:type="auto"/>
            <w:shd w:val="clear" w:color="auto" w:fill="auto"/>
            <w:tcMar>
              <w:top w:w="40" w:type="dxa"/>
              <w:left w:w="40" w:type="dxa"/>
              <w:bottom w:w="40" w:type="dxa"/>
              <w:right w:w="40" w:type="dxa"/>
            </w:tcMar>
          </w:tcPr>
          <w:p w14:paraId="3750D614"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 xml:space="preserve">Trading </w:t>
            </w:r>
            <w:r>
              <w:rPr>
                <w:rFonts w:ascii="Arial" w:eastAsia="宋体" w:hAnsi="Arial" w:cs="Arial"/>
                <w:color w:val="333333"/>
                <w:sz w:val="18"/>
                <w:szCs w:val="18"/>
              </w:rPr>
              <w:t>Symbol(s)</w:t>
            </w:r>
          </w:p>
        </w:tc>
        <w:tc>
          <w:tcPr>
            <w:tcW w:w="0" w:type="auto"/>
            <w:shd w:val="clear" w:color="auto" w:fill="auto"/>
            <w:tcMar>
              <w:top w:w="40" w:type="dxa"/>
              <w:left w:w="40" w:type="dxa"/>
              <w:bottom w:w="40" w:type="dxa"/>
              <w:right w:w="40" w:type="dxa"/>
            </w:tcMar>
          </w:tcPr>
          <w:p w14:paraId="3750D615"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Name of each exchange on which registered</w:t>
            </w:r>
          </w:p>
        </w:tc>
      </w:tr>
      <w:tr w:rsidR="002541AD" w14:paraId="3750D61A" w14:textId="77777777">
        <w:tc>
          <w:tcPr>
            <w:tcW w:w="0" w:type="auto"/>
            <w:shd w:val="clear" w:color="auto" w:fill="auto"/>
            <w:tcMar>
              <w:top w:w="40" w:type="dxa"/>
              <w:left w:w="40" w:type="dxa"/>
              <w:bottom w:w="40" w:type="dxa"/>
              <w:right w:w="40" w:type="dxa"/>
            </w:tcMar>
            <w:vAlign w:val="bottom"/>
          </w:tcPr>
          <w:p w14:paraId="3750D617" w14:textId="77777777" w:rsidR="002541AD" w:rsidRDefault="00901AA6">
            <w:pPr>
              <w:jc w:val="center"/>
              <w:textAlignment w:val="bottom"/>
              <w:rPr>
                <w:rFonts w:ascii="Times New Roman" w:hAnsi="Times New Roman"/>
                <w:sz w:val="18"/>
                <w:szCs w:val="18"/>
              </w:rPr>
            </w:pPr>
            <w:r>
              <w:rPr>
                <w:rFonts w:ascii="Arial" w:eastAsia="宋体" w:hAnsi="Arial" w:cs="Arial"/>
                <w:color w:val="333333"/>
                <w:sz w:val="18"/>
                <w:szCs w:val="18"/>
              </w:rPr>
              <w:t>Common stock, $0.001 par value</w:t>
            </w:r>
          </w:p>
        </w:tc>
        <w:tc>
          <w:tcPr>
            <w:tcW w:w="0" w:type="auto"/>
            <w:shd w:val="clear" w:color="auto" w:fill="auto"/>
            <w:tcMar>
              <w:top w:w="40" w:type="dxa"/>
              <w:left w:w="40" w:type="dxa"/>
              <w:bottom w:w="40" w:type="dxa"/>
              <w:right w:w="40" w:type="dxa"/>
            </w:tcMar>
            <w:vAlign w:val="bottom"/>
          </w:tcPr>
          <w:p w14:paraId="3750D618" w14:textId="77777777" w:rsidR="002541AD" w:rsidRDefault="00901AA6">
            <w:pPr>
              <w:jc w:val="center"/>
              <w:textAlignment w:val="bottom"/>
              <w:rPr>
                <w:rFonts w:ascii="Times New Roman" w:hAnsi="Times New Roman"/>
                <w:sz w:val="18"/>
                <w:szCs w:val="18"/>
              </w:rPr>
            </w:pPr>
            <w:r>
              <w:rPr>
                <w:rFonts w:ascii="Arial" w:eastAsia="宋体" w:hAnsi="Arial" w:cs="Arial"/>
                <w:color w:val="333333"/>
                <w:sz w:val="18"/>
                <w:szCs w:val="18"/>
              </w:rPr>
              <w:t>INTC</w:t>
            </w:r>
          </w:p>
        </w:tc>
        <w:tc>
          <w:tcPr>
            <w:tcW w:w="0" w:type="auto"/>
            <w:shd w:val="clear" w:color="auto" w:fill="auto"/>
            <w:tcMar>
              <w:top w:w="40" w:type="dxa"/>
              <w:left w:w="40" w:type="dxa"/>
              <w:bottom w:w="40" w:type="dxa"/>
              <w:right w:w="40" w:type="dxa"/>
            </w:tcMar>
            <w:vAlign w:val="bottom"/>
          </w:tcPr>
          <w:p w14:paraId="3750D619" w14:textId="77777777" w:rsidR="002541AD" w:rsidRDefault="00901AA6">
            <w:pPr>
              <w:jc w:val="center"/>
              <w:textAlignment w:val="bottom"/>
              <w:rPr>
                <w:rFonts w:ascii="Times New Roman" w:hAnsi="Times New Roman"/>
                <w:sz w:val="18"/>
                <w:szCs w:val="18"/>
              </w:rPr>
            </w:pPr>
            <w:r>
              <w:rPr>
                <w:rFonts w:ascii="Arial" w:eastAsia="宋体" w:hAnsi="Arial" w:cs="Arial"/>
                <w:color w:val="333333"/>
                <w:sz w:val="18"/>
                <w:szCs w:val="18"/>
              </w:rPr>
              <w:t>Nasdaq Global Select Market</w:t>
            </w:r>
          </w:p>
        </w:tc>
      </w:tr>
    </w:tbl>
    <w:p w14:paraId="3750D61B" w14:textId="77777777" w:rsidR="002541AD" w:rsidRDefault="00901AA6">
      <w:pPr>
        <w:spacing w:line="288" w:lineRule="auto"/>
        <w:rPr>
          <w:rFonts w:ascii="Times New Roman" w:hAnsi="Times New Roman"/>
        </w:rPr>
      </w:pPr>
      <w:r>
        <w:rPr>
          <w:rFonts w:ascii="Arial" w:eastAsia="宋体" w:hAnsi="Arial" w:cs="Arial"/>
          <w:color w:val="333333"/>
          <w:sz w:val="18"/>
          <w:szCs w:val="18"/>
        </w:rPr>
        <w:t>Indicate by check mark whether the registrant (1) has filed all reports required to be filed by Section 13 or 15(d) of the Securities Exch</w:t>
      </w:r>
      <w:r>
        <w:rPr>
          <w:rFonts w:ascii="Arial" w:eastAsia="宋体" w:hAnsi="Arial" w:cs="Arial"/>
          <w:color w:val="333333"/>
          <w:sz w:val="18"/>
          <w:szCs w:val="18"/>
        </w:rPr>
        <w:t>ange Act of 1934 during the preceding 12 months (or for such shorter period that the registrant was required to file such reports), and (2) has been subject to such filing requirements for the past 90 days. Yes  </w:t>
      </w:r>
      <w:r>
        <w:rPr>
          <w:rFonts w:ascii="Arial Unicode MS" w:eastAsia="Arial Unicode MS" w:hAnsi="Arial Unicode MS" w:cs="Arial Unicode MS" w:hint="eastAsia"/>
          <w:color w:val="333333"/>
        </w:rPr>
        <w:t>☑</w:t>
      </w:r>
      <w:r>
        <w:rPr>
          <w:rFonts w:ascii="Arial" w:eastAsia="宋体" w:hAnsi="Arial" w:cs="Arial"/>
          <w:color w:val="333333"/>
          <w:sz w:val="18"/>
          <w:szCs w:val="18"/>
        </w:rPr>
        <w:t xml:space="preserve">    No  </w:t>
      </w:r>
      <w:r>
        <w:rPr>
          <w:rFonts w:ascii="Wingdings" w:eastAsia="宋体" w:hAnsi="Wingdings" w:cs="Wingdings"/>
          <w:color w:val="333333"/>
          <w:sz w:val="18"/>
          <w:szCs w:val="18"/>
        </w:rPr>
        <w:t>¨</w:t>
      </w:r>
    </w:p>
    <w:p w14:paraId="3750D61C" w14:textId="77777777" w:rsidR="002541AD" w:rsidRDefault="00901AA6">
      <w:pPr>
        <w:spacing w:line="288" w:lineRule="auto"/>
        <w:rPr>
          <w:rFonts w:ascii="Times New Roman" w:hAnsi="Times New Roman"/>
        </w:rPr>
      </w:pPr>
      <w:r>
        <w:rPr>
          <w:rFonts w:ascii="Arial" w:eastAsia="宋体" w:hAnsi="Arial" w:cs="Arial"/>
          <w:color w:val="333333"/>
          <w:sz w:val="18"/>
          <w:szCs w:val="18"/>
        </w:rPr>
        <w:t xml:space="preserve">Indicate by check mark </w:t>
      </w:r>
      <w:r>
        <w:rPr>
          <w:rFonts w:ascii="Arial" w:eastAsia="宋体" w:hAnsi="Arial" w:cs="Arial"/>
          <w:color w:val="333333"/>
          <w:sz w:val="18"/>
          <w:szCs w:val="18"/>
        </w:rPr>
        <w:t>whether the registrant has submitted electronically every Interactive Data File required to be submitted pursuant to Rule 405 of Regulation S-T (§232.405 of this chapter) during the preceding 12 months (or for such shorter period that the registrant was re</w:t>
      </w:r>
      <w:r>
        <w:rPr>
          <w:rFonts w:ascii="Arial" w:eastAsia="宋体" w:hAnsi="Arial" w:cs="Arial"/>
          <w:color w:val="333333"/>
          <w:sz w:val="18"/>
          <w:szCs w:val="18"/>
        </w:rPr>
        <w:t>quired to submit such files).  Yes  </w:t>
      </w:r>
      <w:r>
        <w:rPr>
          <w:rFonts w:ascii="Arial Unicode MS" w:eastAsia="Arial Unicode MS" w:hAnsi="Arial Unicode MS" w:cs="Arial Unicode MS" w:hint="eastAsia"/>
          <w:color w:val="333333"/>
        </w:rPr>
        <w:t>☑</w:t>
      </w:r>
      <w:r>
        <w:rPr>
          <w:rFonts w:ascii="Arial" w:eastAsia="宋体" w:hAnsi="Arial" w:cs="Arial"/>
          <w:color w:val="333333"/>
          <w:sz w:val="18"/>
          <w:szCs w:val="18"/>
        </w:rPr>
        <w:t xml:space="preserve">    No  </w:t>
      </w:r>
      <w:r>
        <w:rPr>
          <w:rFonts w:ascii="Wingdings" w:eastAsia="宋体" w:hAnsi="Wingdings" w:cs="Wingdings"/>
          <w:color w:val="333333"/>
          <w:sz w:val="18"/>
          <w:szCs w:val="18"/>
        </w:rPr>
        <w:t>¨</w:t>
      </w:r>
    </w:p>
    <w:p w14:paraId="3750D61D"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Indicate by check mark whether the registrant is a large accelerated filer, an accelerated filer, a non-accelerated filer, a smaller reporting company, or an emerging growth company. See the definitions of “la</w:t>
      </w:r>
      <w:r>
        <w:rPr>
          <w:rFonts w:ascii="Arial" w:eastAsia="宋体" w:hAnsi="Arial" w:cs="Arial"/>
          <w:color w:val="333333"/>
          <w:sz w:val="18"/>
          <w:szCs w:val="18"/>
        </w:rPr>
        <w:t>rge accelerated filer,” “accelerated filer,” “smaller reporting company,” and "emerging growth company" in Rule 12b-2 of the Exchange Act.</w:t>
      </w:r>
    </w:p>
    <w:tbl>
      <w:tblPr>
        <w:tblW w:w="5000" w:type="pct"/>
        <w:tblCellMar>
          <w:left w:w="0" w:type="dxa"/>
          <w:right w:w="0" w:type="dxa"/>
        </w:tblCellMar>
        <w:tblLook w:val="04A0" w:firstRow="1" w:lastRow="0" w:firstColumn="1" w:lastColumn="0" w:noHBand="0" w:noVBand="1"/>
      </w:tblPr>
      <w:tblGrid>
        <w:gridCol w:w="1213"/>
        <w:gridCol w:w="1471"/>
        <w:gridCol w:w="1878"/>
        <w:gridCol w:w="2281"/>
        <w:gridCol w:w="1463"/>
      </w:tblGrid>
      <w:tr w:rsidR="002541AD" w14:paraId="3750D61F" w14:textId="77777777">
        <w:tc>
          <w:tcPr>
            <w:tcW w:w="0" w:type="auto"/>
            <w:gridSpan w:val="5"/>
            <w:shd w:val="clear" w:color="auto" w:fill="auto"/>
            <w:vAlign w:val="center"/>
          </w:tcPr>
          <w:p w14:paraId="3750D61E" w14:textId="77777777" w:rsidR="002541AD" w:rsidRDefault="002541AD">
            <w:pPr>
              <w:rPr>
                <w:rFonts w:ascii="Times New Roman" w:hAnsi="Times New Roman"/>
                <w:sz w:val="20"/>
                <w:szCs w:val="20"/>
              </w:rPr>
            </w:pPr>
          </w:p>
        </w:tc>
      </w:tr>
      <w:tr w:rsidR="002541AD" w14:paraId="3750D625" w14:textId="77777777">
        <w:tc>
          <w:tcPr>
            <w:tcW w:w="900" w:type="pct"/>
            <w:shd w:val="clear" w:color="auto" w:fill="auto"/>
            <w:vAlign w:val="center"/>
          </w:tcPr>
          <w:p w14:paraId="3750D620" w14:textId="77777777" w:rsidR="002541AD" w:rsidRDefault="002541AD">
            <w:pPr>
              <w:rPr>
                <w:rFonts w:ascii="Times New Roman" w:hAnsi="Times New Roman"/>
                <w:sz w:val="20"/>
                <w:szCs w:val="20"/>
              </w:rPr>
            </w:pPr>
          </w:p>
        </w:tc>
        <w:tc>
          <w:tcPr>
            <w:tcW w:w="700" w:type="pct"/>
            <w:shd w:val="clear" w:color="auto" w:fill="auto"/>
            <w:vAlign w:val="center"/>
          </w:tcPr>
          <w:p w14:paraId="3750D621" w14:textId="77777777" w:rsidR="002541AD" w:rsidRDefault="002541AD">
            <w:pPr>
              <w:rPr>
                <w:rFonts w:ascii="Times New Roman" w:hAnsi="Times New Roman"/>
                <w:sz w:val="20"/>
                <w:szCs w:val="20"/>
              </w:rPr>
            </w:pPr>
          </w:p>
        </w:tc>
        <w:tc>
          <w:tcPr>
            <w:tcW w:w="1300" w:type="pct"/>
            <w:shd w:val="clear" w:color="auto" w:fill="auto"/>
            <w:vAlign w:val="center"/>
          </w:tcPr>
          <w:p w14:paraId="3750D622" w14:textId="77777777" w:rsidR="002541AD" w:rsidRDefault="002541AD">
            <w:pPr>
              <w:rPr>
                <w:rFonts w:ascii="Times New Roman" w:hAnsi="Times New Roman"/>
                <w:sz w:val="20"/>
                <w:szCs w:val="20"/>
              </w:rPr>
            </w:pPr>
          </w:p>
        </w:tc>
        <w:tc>
          <w:tcPr>
            <w:tcW w:w="1050" w:type="pct"/>
            <w:shd w:val="clear" w:color="auto" w:fill="auto"/>
            <w:vAlign w:val="center"/>
          </w:tcPr>
          <w:p w14:paraId="3750D623" w14:textId="77777777" w:rsidR="002541AD" w:rsidRDefault="002541AD">
            <w:pPr>
              <w:rPr>
                <w:rFonts w:ascii="Times New Roman" w:hAnsi="Times New Roman"/>
                <w:sz w:val="20"/>
                <w:szCs w:val="20"/>
              </w:rPr>
            </w:pPr>
          </w:p>
        </w:tc>
        <w:tc>
          <w:tcPr>
            <w:tcW w:w="1050" w:type="pct"/>
            <w:shd w:val="clear" w:color="auto" w:fill="auto"/>
            <w:vAlign w:val="center"/>
          </w:tcPr>
          <w:p w14:paraId="3750D624" w14:textId="77777777" w:rsidR="002541AD" w:rsidRDefault="002541AD">
            <w:pPr>
              <w:rPr>
                <w:rFonts w:ascii="Times New Roman" w:hAnsi="Times New Roman"/>
                <w:sz w:val="20"/>
                <w:szCs w:val="20"/>
              </w:rPr>
            </w:pPr>
          </w:p>
        </w:tc>
      </w:tr>
      <w:tr w:rsidR="002541AD" w14:paraId="3750D62B" w14:textId="77777777">
        <w:tc>
          <w:tcPr>
            <w:tcW w:w="0" w:type="auto"/>
            <w:shd w:val="clear" w:color="auto" w:fill="auto"/>
            <w:tcMar>
              <w:top w:w="40" w:type="dxa"/>
              <w:left w:w="40" w:type="dxa"/>
              <w:bottom w:w="40" w:type="dxa"/>
              <w:right w:w="40" w:type="dxa"/>
            </w:tcMar>
          </w:tcPr>
          <w:p w14:paraId="3750D626"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lastRenderedPageBreak/>
              <w:t>Large Accelerated Filer</w:t>
            </w:r>
          </w:p>
        </w:tc>
        <w:tc>
          <w:tcPr>
            <w:tcW w:w="0" w:type="auto"/>
            <w:shd w:val="clear" w:color="auto" w:fill="auto"/>
            <w:tcMar>
              <w:top w:w="40" w:type="dxa"/>
              <w:left w:w="40" w:type="dxa"/>
              <w:bottom w:w="40" w:type="dxa"/>
              <w:right w:w="40" w:type="dxa"/>
            </w:tcMar>
          </w:tcPr>
          <w:p w14:paraId="3750D627"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Accelerated filer  </w:t>
            </w:r>
          </w:p>
        </w:tc>
        <w:tc>
          <w:tcPr>
            <w:tcW w:w="0" w:type="auto"/>
            <w:shd w:val="clear" w:color="auto" w:fill="auto"/>
            <w:tcMar>
              <w:top w:w="40" w:type="dxa"/>
              <w:left w:w="40" w:type="dxa"/>
              <w:bottom w:w="40" w:type="dxa"/>
              <w:right w:w="40" w:type="dxa"/>
            </w:tcMar>
          </w:tcPr>
          <w:p w14:paraId="3750D628"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 xml:space="preserve">Non-accelerated filer  </w:t>
            </w:r>
          </w:p>
        </w:tc>
        <w:tc>
          <w:tcPr>
            <w:tcW w:w="0" w:type="auto"/>
            <w:shd w:val="clear" w:color="auto" w:fill="auto"/>
            <w:tcMar>
              <w:top w:w="40" w:type="dxa"/>
              <w:left w:w="40" w:type="dxa"/>
              <w:bottom w:w="40" w:type="dxa"/>
              <w:right w:w="40" w:type="dxa"/>
            </w:tcMar>
          </w:tcPr>
          <w:p w14:paraId="3750D629"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Smaller reporting company </w:t>
            </w:r>
          </w:p>
        </w:tc>
        <w:tc>
          <w:tcPr>
            <w:tcW w:w="0" w:type="auto"/>
            <w:shd w:val="clear" w:color="auto" w:fill="auto"/>
            <w:tcMar>
              <w:top w:w="40" w:type="dxa"/>
              <w:left w:w="40" w:type="dxa"/>
              <w:bottom w:w="40" w:type="dxa"/>
              <w:right w:w="40" w:type="dxa"/>
            </w:tcMar>
          </w:tcPr>
          <w:p w14:paraId="3750D62A"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Emerging growth company  </w:t>
            </w:r>
          </w:p>
        </w:tc>
      </w:tr>
      <w:tr w:rsidR="002541AD" w14:paraId="3750D631" w14:textId="77777777">
        <w:tc>
          <w:tcPr>
            <w:tcW w:w="0" w:type="auto"/>
            <w:shd w:val="clear" w:color="auto" w:fill="auto"/>
            <w:tcMar>
              <w:top w:w="40" w:type="dxa"/>
              <w:left w:w="40" w:type="dxa"/>
              <w:bottom w:w="40" w:type="dxa"/>
              <w:right w:w="40" w:type="dxa"/>
            </w:tcMar>
          </w:tcPr>
          <w:p w14:paraId="3750D62C" w14:textId="77777777" w:rsidR="002541AD" w:rsidRDefault="00901AA6">
            <w:pPr>
              <w:jc w:val="center"/>
              <w:textAlignment w:val="top"/>
              <w:rPr>
                <w:rFonts w:ascii="Times New Roman" w:hAnsi="Times New Roman"/>
              </w:rPr>
            </w:pPr>
            <w:r>
              <w:rPr>
                <w:rFonts w:ascii="Arial Unicode MS" w:eastAsia="Arial Unicode MS" w:hAnsi="Arial Unicode MS" w:cs="Arial Unicode MS" w:hint="eastAsia"/>
                <w:color w:val="333333"/>
              </w:rPr>
              <w:t>☑</w:t>
            </w:r>
          </w:p>
        </w:tc>
        <w:tc>
          <w:tcPr>
            <w:tcW w:w="0" w:type="auto"/>
            <w:shd w:val="clear" w:color="auto" w:fill="auto"/>
            <w:tcMar>
              <w:top w:w="40" w:type="dxa"/>
              <w:left w:w="40" w:type="dxa"/>
              <w:bottom w:w="40" w:type="dxa"/>
              <w:right w:w="40" w:type="dxa"/>
            </w:tcMar>
          </w:tcPr>
          <w:p w14:paraId="3750D62D" w14:textId="77777777" w:rsidR="002541AD" w:rsidRDefault="00901AA6">
            <w:pPr>
              <w:jc w:val="center"/>
              <w:textAlignment w:val="top"/>
              <w:rPr>
                <w:rFonts w:ascii="Times New Roman" w:hAnsi="Times New Roman"/>
                <w:sz w:val="18"/>
                <w:szCs w:val="18"/>
              </w:rPr>
            </w:pPr>
            <w:r>
              <w:rPr>
                <w:rFonts w:ascii="Wingdings" w:eastAsia="宋体" w:hAnsi="Wingdings" w:cs="Wingdings"/>
                <w:color w:val="333333"/>
                <w:sz w:val="18"/>
                <w:szCs w:val="18"/>
              </w:rPr>
              <w:t>¨</w:t>
            </w:r>
          </w:p>
        </w:tc>
        <w:tc>
          <w:tcPr>
            <w:tcW w:w="0" w:type="auto"/>
            <w:shd w:val="clear" w:color="auto" w:fill="auto"/>
            <w:tcMar>
              <w:top w:w="40" w:type="dxa"/>
              <w:left w:w="40" w:type="dxa"/>
              <w:bottom w:w="40" w:type="dxa"/>
              <w:right w:w="40" w:type="dxa"/>
            </w:tcMar>
          </w:tcPr>
          <w:p w14:paraId="3750D62E" w14:textId="77777777" w:rsidR="002541AD" w:rsidRDefault="00901AA6">
            <w:pPr>
              <w:jc w:val="center"/>
              <w:textAlignment w:val="top"/>
              <w:rPr>
                <w:rFonts w:ascii="Times New Roman" w:hAnsi="Times New Roman"/>
                <w:sz w:val="18"/>
                <w:szCs w:val="18"/>
              </w:rPr>
            </w:pPr>
            <w:r>
              <w:rPr>
                <w:rFonts w:ascii="Wingdings" w:eastAsia="宋体" w:hAnsi="Wingdings" w:cs="Wingdings"/>
                <w:color w:val="333333"/>
                <w:sz w:val="18"/>
                <w:szCs w:val="18"/>
              </w:rPr>
              <w:t>¨</w:t>
            </w:r>
          </w:p>
        </w:tc>
        <w:tc>
          <w:tcPr>
            <w:tcW w:w="0" w:type="auto"/>
            <w:shd w:val="clear" w:color="auto" w:fill="auto"/>
            <w:tcMar>
              <w:top w:w="40" w:type="dxa"/>
              <w:left w:w="40" w:type="dxa"/>
              <w:bottom w:w="40" w:type="dxa"/>
              <w:right w:w="40" w:type="dxa"/>
            </w:tcMar>
          </w:tcPr>
          <w:p w14:paraId="3750D62F" w14:textId="77777777" w:rsidR="002541AD" w:rsidRDefault="00901AA6">
            <w:pPr>
              <w:jc w:val="center"/>
              <w:textAlignment w:val="top"/>
              <w:rPr>
                <w:rFonts w:ascii="Times New Roman" w:hAnsi="Times New Roman"/>
                <w:sz w:val="18"/>
                <w:szCs w:val="18"/>
              </w:rPr>
            </w:pPr>
            <w:r>
              <w:rPr>
                <w:rFonts w:ascii="Arial Unicode MS" w:eastAsia="Arial Unicode MS" w:hAnsi="Arial Unicode MS" w:cs="Arial Unicode MS" w:hint="eastAsia"/>
                <w:color w:val="333333"/>
                <w:sz w:val="18"/>
                <w:szCs w:val="18"/>
              </w:rPr>
              <w:t>☐</w:t>
            </w:r>
          </w:p>
        </w:tc>
        <w:tc>
          <w:tcPr>
            <w:tcW w:w="0" w:type="auto"/>
            <w:shd w:val="clear" w:color="auto" w:fill="auto"/>
            <w:tcMar>
              <w:top w:w="40" w:type="dxa"/>
              <w:left w:w="40" w:type="dxa"/>
              <w:bottom w:w="40" w:type="dxa"/>
              <w:right w:w="40" w:type="dxa"/>
            </w:tcMar>
          </w:tcPr>
          <w:p w14:paraId="3750D630" w14:textId="77777777" w:rsidR="002541AD" w:rsidRDefault="00901AA6">
            <w:pPr>
              <w:jc w:val="center"/>
              <w:textAlignment w:val="top"/>
              <w:rPr>
                <w:rFonts w:ascii="Times New Roman" w:hAnsi="Times New Roman"/>
                <w:sz w:val="18"/>
                <w:szCs w:val="18"/>
              </w:rPr>
            </w:pPr>
            <w:r>
              <w:rPr>
                <w:rFonts w:ascii="Arial Unicode MS" w:eastAsia="Arial Unicode MS" w:hAnsi="Arial Unicode MS" w:cs="Arial Unicode MS" w:hint="eastAsia"/>
                <w:color w:val="333333"/>
                <w:sz w:val="18"/>
                <w:szCs w:val="18"/>
              </w:rPr>
              <w:t>☐</w:t>
            </w:r>
          </w:p>
        </w:tc>
      </w:tr>
    </w:tbl>
    <w:p w14:paraId="3750D632"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If an emerging growth company, indicate by check mark if the registrant has elected not to use the extended transition period for complying with any new or revised financial accounting standa</w:t>
      </w:r>
      <w:r>
        <w:rPr>
          <w:rFonts w:ascii="Arial" w:eastAsia="宋体" w:hAnsi="Arial" w:cs="Arial"/>
          <w:color w:val="333333"/>
          <w:sz w:val="18"/>
          <w:szCs w:val="18"/>
        </w:rPr>
        <w:t xml:space="preserve">rds provided pursuant to Section 13(a) of the Exchange Act. </w:t>
      </w:r>
      <w:r>
        <w:rPr>
          <w:rFonts w:ascii="Wingdings" w:eastAsia="宋体" w:hAnsi="Wingdings" w:cs="Wingdings"/>
          <w:color w:val="333333"/>
          <w:sz w:val="18"/>
          <w:szCs w:val="18"/>
        </w:rPr>
        <w:t>¨</w:t>
      </w:r>
    </w:p>
    <w:p w14:paraId="3750D633" w14:textId="77777777" w:rsidR="002541AD" w:rsidRDefault="00901AA6">
      <w:pPr>
        <w:spacing w:line="288" w:lineRule="auto"/>
        <w:rPr>
          <w:rFonts w:ascii="Times New Roman" w:hAnsi="Times New Roman"/>
        </w:rPr>
      </w:pPr>
      <w:r>
        <w:rPr>
          <w:rFonts w:ascii="Arial" w:eastAsia="宋体" w:hAnsi="Arial" w:cs="Arial"/>
          <w:color w:val="333333"/>
          <w:sz w:val="18"/>
          <w:szCs w:val="18"/>
        </w:rPr>
        <w:t>Indicate by check mark whether the registrant is a shell company (as defined in Rule 12b-2 of the Exchange Act).    Yes  </w:t>
      </w:r>
      <w:r>
        <w:rPr>
          <w:rFonts w:ascii="Arial Unicode MS" w:eastAsia="Arial Unicode MS" w:hAnsi="Arial Unicode MS" w:cs="Arial Unicode MS" w:hint="eastAsia"/>
          <w:color w:val="333333"/>
          <w:sz w:val="18"/>
          <w:szCs w:val="18"/>
        </w:rPr>
        <w:t>☐</w:t>
      </w:r>
      <w:r>
        <w:rPr>
          <w:rFonts w:ascii="Arial" w:eastAsia="宋体" w:hAnsi="Arial" w:cs="Arial"/>
          <w:color w:val="333333"/>
          <w:sz w:val="18"/>
          <w:szCs w:val="18"/>
        </w:rPr>
        <w:t xml:space="preserve">    No  </w:t>
      </w:r>
      <w:r>
        <w:rPr>
          <w:rFonts w:ascii="Arial Unicode MS" w:eastAsia="Arial Unicode MS" w:hAnsi="Arial Unicode MS" w:cs="Arial Unicode MS" w:hint="eastAsia"/>
          <w:color w:val="333333"/>
        </w:rPr>
        <w:t>☑</w:t>
      </w:r>
    </w:p>
    <w:p w14:paraId="3750D634"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As of March 28, 2020, the registrant had outstanding 4,234 mil</w:t>
      </w:r>
      <w:r>
        <w:rPr>
          <w:rFonts w:ascii="Arial" w:eastAsia="宋体" w:hAnsi="Arial" w:cs="Arial"/>
          <w:color w:val="333333"/>
          <w:sz w:val="18"/>
          <w:szCs w:val="18"/>
        </w:rPr>
        <w:t xml:space="preserve">lion shares of common stock. </w:t>
      </w:r>
    </w:p>
    <w:p w14:paraId="3750D635" w14:textId="77777777" w:rsidR="002541AD" w:rsidRDefault="002541AD">
      <w:pPr>
        <w:rPr>
          <w:rFonts w:ascii="Times New Roman" w:hAnsi="Times New Roman"/>
          <w:sz w:val="20"/>
          <w:szCs w:val="20"/>
        </w:rPr>
      </w:pPr>
    </w:p>
    <w:p w14:paraId="3750D636" w14:textId="77777777" w:rsidR="002541AD" w:rsidRDefault="00901AA6">
      <w:r>
        <w:rPr>
          <w:rFonts w:ascii="Times New Roman" w:hAnsi="Times New Roman"/>
          <w:sz w:val="20"/>
          <w:szCs w:val="20"/>
        </w:rPr>
        <w:pict w14:anchorId="3750F837">
          <v:rect id="_x0000_i1025" style="width:415.3pt;height:1.5pt" o:hralign="center" o:hrstd="t" o:hr="t" fillcolor="#a0a0a0" stroked="f"/>
        </w:pict>
      </w:r>
    </w:p>
    <w:p w14:paraId="3750D637" w14:textId="77777777" w:rsidR="002541AD" w:rsidRDefault="002541AD">
      <w:pPr>
        <w:rPr>
          <w:rFonts w:ascii="Times New Roman" w:hAnsi="Times New Roman"/>
          <w:sz w:val="20"/>
          <w:szCs w:val="20"/>
        </w:rPr>
      </w:pPr>
    </w:p>
    <w:p w14:paraId="3750D638" w14:textId="77777777" w:rsidR="002541AD" w:rsidRDefault="00901AA6">
      <w:pPr>
        <w:spacing w:line="288" w:lineRule="auto"/>
        <w:rPr>
          <w:rFonts w:ascii="Times New Roman" w:hAnsi="Times New Roman"/>
          <w:sz w:val="36"/>
          <w:szCs w:val="36"/>
        </w:rPr>
      </w:pPr>
      <w:r>
        <w:rPr>
          <w:rFonts w:ascii="Arial" w:eastAsia="宋体" w:hAnsi="Arial" w:cs="Arial"/>
          <w:b/>
          <w:bCs/>
          <w:color w:val="0071C5"/>
          <w:sz w:val="36"/>
          <w:szCs w:val="36"/>
        </w:rPr>
        <w:t>TABLE OF CONTENTS</w:t>
      </w:r>
    </w:p>
    <w:p w14:paraId="3750D639" w14:textId="77777777" w:rsidR="002541AD" w:rsidRDefault="00901AA6">
      <w:pPr>
        <w:spacing w:line="288" w:lineRule="auto"/>
        <w:rPr>
          <w:rFonts w:ascii="Times New Roman" w:hAnsi="Times New Roman"/>
        </w:rPr>
      </w:pPr>
      <w:r>
        <w:rPr>
          <w:rFonts w:ascii="Arial" w:eastAsia="宋体" w:hAnsi="Arial" w:cs="Arial"/>
          <w:b/>
          <w:bCs/>
          <w:color w:val="0071C5"/>
        </w:rPr>
        <w:t>THE ORGANIZATION OF OUR QUARTERLY REPORT ON FORM 10-Q</w:t>
      </w:r>
    </w:p>
    <w:p w14:paraId="3750D63A"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The order and presentation of content in our Form 10-Q differs from the traditional SEC Form 10-Q format. Our format is designed to improve readability and better presents how we organize and manage our business. See "Form 10-Q Cross-Reference Index" withi</w:t>
      </w:r>
      <w:r>
        <w:rPr>
          <w:rFonts w:ascii="Arial" w:eastAsia="宋体" w:hAnsi="Arial" w:cs="Arial"/>
          <w:color w:val="333333"/>
          <w:sz w:val="18"/>
          <w:szCs w:val="18"/>
        </w:rPr>
        <w:t xml:space="preserve">n Other Key Information for a cross-reference index to the traditional SEC Form 10-Q format. </w:t>
      </w:r>
      <w:r>
        <w:rPr>
          <w:rFonts w:ascii="Arial" w:eastAsia="宋体" w:hAnsi="Arial" w:cs="Arial"/>
          <w:color w:val="333333"/>
          <w:sz w:val="18"/>
          <w:szCs w:val="18"/>
        </w:rPr>
        <w:t>To reflect our focus on transforming from a PC-centric</w:t>
      </w:r>
      <w:r>
        <w:rPr>
          <w:rFonts w:ascii="Arial" w:eastAsia="宋体" w:hAnsi="Arial" w:cs="Arial"/>
          <w:color w:val="333333"/>
          <w:sz w:val="12"/>
          <w:szCs w:val="12"/>
        </w:rPr>
        <w:t>1</w:t>
      </w:r>
      <w:r>
        <w:rPr>
          <w:rFonts w:ascii="Arial" w:eastAsia="宋体" w:hAnsi="Arial" w:cs="Arial"/>
          <w:color w:val="333333"/>
          <w:sz w:val="18"/>
          <w:szCs w:val="18"/>
        </w:rPr>
        <w:t xml:space="preserve"> company to a data-centric company, we have presented our data-centric businesses</w:t>
      </w:r>
      <w:r>
        <w:rPr>
          <w:rFonts w:ascii="Arial" w:eastAsia="宋体" w:hAnsi="Arial" w:cs="Arial"/>
          <w:color w:val="333333"/>
          <w:sz w:val="12"/>
          <w:szCs w:val="12"/>
        </w:rPr>
        <w:t>1</w:t>
      </w:r>
      <w:r>
        <w:rPr>
          <w:rFonts w:ascii="Arial" w:eastAsia="宋体" w:hAnsi="Arial" w:cs="Arial"/>
          <w:color w:val="333333"/>
          <w:sz w:val="18"/>
          <w:szCs w:val="18"/>
        </w:rPr>
        <w:t xml:space="preserve"> first in the "Segment Tre</w:t>
      </w:r>
      <w:r>
        <w:rPr>
          <w:rFonts w:ascii="Arial" w:eastAsia="宋体" w:hAnsi="Arial" w:cs="Arial"/>
          <w:color w:val="333333"/>
          <w:sz w:val="18"/>
          <w:szCs w:val="18"/>
        </w:rPr>
        <w:t>nds and Results" within MD&amp;A.</w:t>
      </w:r>
    </w:p>
    <w:p w14:paraId="3750D63B"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We have defined certain terms and abbreviations used throughout our Form 10-Q in "Key Terms" within the Consolidated Condensed Financial Statements and Supplemental Details. </w:t>
      </w:r>
    </w:p>
    <w:p w14:paraId="3750D63C" w14:textId="77777777" w:rsidR="002541AD" w:rsidRDefault="00901AA6">
      <w:pPr>
        <w:spacing w:line="288" w:lineRule="auto"/>
        <w:rPr>
          <w:rFonts w:ascii="Times New Roman" w:hAnsi="Times New Roman"/>
          <w:sz w:val="20"/>
          <w:szCs w:val="20"/>
        </w:rPr>
      </w:pPr>
      <w:r>
        <w:rPr>
          <w:rFonts w:ascii="Arial" w:eastAsia="宋体" w:hAnsi="Arial" w:cs="Arial"/>
          <w:color w:val="333333"/>
          <w:sz w:val="18"/>
          <w:szCs w:val="18"/>
        </w:rPr>
        <w:t>The preparation of our Consolidated Condensed Financial Statements is in conformi</w:t>
      </w:r>
      <w:r>
        <w:rPr>
          <w:rFonts w:ascii="Arial" w:eastAsia="宋体" w:hAnsi="Arial" w:cs="Arial"/>
          <w:color w:val="333333"/>
          <w:sz w:val="18"/>
          <w:szCs w:val="18"/>
        </w:rPr>
        <w:t>ty with U.S. GAAP. Our Form 10-Q includes key metrics that we use to measure our business, some of which are non-GAAP measures. See "Non-GAAP Financial Measures" within MD&amp;A for an explanation of these measures and why management uses them and believes the</w:t>
      </w:r>
      <w:r>
        <w:rPr>
          <w:rFonts w:ascii="Arial" w:eastAsia="宋体" w:hAnsi="Arial" w:cs="Arial"/>
          <w:color w:val="333333"/>
          <w:sz w:val="18"/>
          <w:szCs w:val="18"/>
        </w:rPr>
        <w:t xml:space="preserve">y provide investors with useful supplemental information. </w:t>
      </w:r>
    </w:p>
    <w:tbl>
      <w:tblPr>
        <w:tblW w:w="5000" w:type="pct"/>
        <w:tblCellMar>
          <w:left w:w="0" w:type="dxa"/>
          <w:right w:w="0" w:type="dxa"/>
        </w:tblCellMar>
        <w:tblLook w:val="04A0" w:firstRow="1" w:lastRow="0" w:firstColumn="1" w:lastColumn="0" w:noHBand="0" w:noVBand="1"/>
      </w:tblPr>
      <w:tblGrid>
        <w:gridCol w:w="300"/>
        <w:gridCol w:w="134"/>
        <w:gridCol w:w="7361"/>
        <w:gridCol w:w="511"/>
      </w:tblGrid>
      <w:tr w:rsidR="002541AD" w14:paraId="3750D63E" w14:textId="77777777">
        <w:tc>
          <w:tcPr>
            <w:tcW w:w="0" w:type="auto"/>
            <w:gridSpan w:val="4"/>
            <w:shd w:val="clear" w:color="auto" w:fill="auto"/>
            <w:vAlign w:val="center"/>
          </w:tcPr>
          <w:p w14:paraId="3750D63D" w14:textId="77777777" w:rsidR="002541AD" w:rsidRDefault="002541AD">
            <w:pPr>
              <w:rPr>
                <w:rFonts w:ascii="Times New Roman" w:hAnsi="Times New Roman"/>
                <w:sz w:val="20"/>
                <w:szCs w:val="20"/>
              </w:rPr>
            </w:pPr>
          </w:p>
        </w:tc>
      </w:tr>
      <w:tr w:rsidR="002541AD" w14:paraId="3750D643" w14:textId="77777777">
        <w:tc>
          <w:tcPr>
            <w:tcW w:w="200" w:type="pct"/>
            <w:shd w:val="clear" w:color="auto" w:fill="auto"/>
            <w:vAlign w:val="center"/>
          </w:tcPr>
          <w:p w14:paraId="3750D63F" w14:textId="77777777" w:rsidR="002541AD" w:rsidRDefault="002541AD">
            <w:pPr>
              <w:rPr>
                <w:rFonts w:ascii="Times New Roman" w:hAnsi="Times New Roman"/>
                <w:sz w:val="20"/>
                <w:szCs w:val="20"/>
              </w:rPr>
            </w:pPr>
          </w:p>
        </w:tc>
        <w:tc>
          <w:tcPr>
            <w:tcW w:w="100" w:type="pct"/>
            <w:shd w:val="clear" w:color="auto" w:fill="auto"/>
            <w:vAlign w:val="center"/>
          </w:tcPr>
          <w:p w14:paraId="3750D640" w14:textId="77777777" w:rsidR="002541AD" w:rsidRDefault="002541AD">
            <w:pPr>
              <w:rPr>
                <w:rFonts w:ascii="Times New Roman" w:hAnsi="Times New Roman"/>
                <w:sz w:val="20"/>
                <w:szCs w:val="20"/>
              </w:rPr>
            </w:pPr>
          </w:p>
        </w:tc>
        <w:tc>
          <w:tcPr>
            <w:tcW w:w="4450" w:type="pct"/>
            <w:shd w:val="clear" w:color="auto" w:fill="auto"/>
            <w:vAlign w:val="center"/>
          </w:tcPr>
          <w:p w14:paraId="3750D641" w14:textId="77777777" w:rsidR="002541AD" w:rsidRDefault="002541AD">
            <w:pPr>
              <w:rPr>
                <w:rFonts w:ascii="Times New Roman" w:hAnsi="Times New Roman"/>
                <w:sz w:val="20"/>
                <w:szCs w:val="20"/>
              </w:rPr>
            </w:pPr>
          </w:p>
        </w:tc>
        <w:tc>
          <w:tcPr>
            <w:tcW w:w="250" w:type="pct"/>
            <w:shd w:val="clear" w:color="auto" w:fill="auto"/>
            <w:vAlign w:val="center"/>
          </w:tcPr>
          <w:p w14:paraId="3750D642" w14:textId="77777777" w:rsidR="002541AD" w:rsidRDefault="002541AD">
            <w:pPr>
              <w:rPr>
                <w:rFonts w:ascii="Times New Roman" w:hAnsi="Times New Roman"/>
                <w:sz w:val="20"/>
                <w:szCs w:val="20"/>
              </w:rPr>
            </w:pPr>
          </w:p>
        </w:tc>
      </w:tr>
      <w:tr w:rsidR="002541AD" w14:paraId="3750D648"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D64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D64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D64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D647"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Page</w:t>
            </w:r>
          </w:p>
        </w:tc>
      </w:tr>
      <w:tr w:rsidR="002541AD" w14:paraId="3750D64B" w14:textId="77777777">
        <w:tc>
          <w:tcPr>
            <w:tcW w:w="0" w:type="auto"/>
            <w:gridSpan w:val="3"/>
            <w:shd w:val="clear" w:color="auto" w:fill="auto"/>
            <w:tcMar>
              <w:top w:w="40" w:type="dxa"/>
              <w:left w:w="40" w:type="dxa"/>
              <w:bottom w:w="40" w:type="dxa"/>
              <w:right w:w="40" w:type="dxa"/>
            </w:tcMar>
            <w:vAlign w:val="bottom"/>
          </w:tcPr>
          <w:p w14:paraId="3750D649" w14:textId="77777777" w:rsidR="002541AD" w:rsidRDefault="00901AA6">
            <w:pPr>
              <w:textAlignment w:val="bottom"/>
              <w:rPr>
                <w:rFonts w:ascii="Times New Roman" w:hAnsi="Times New Roman"/>
                <w:sz w:val="20"/>
                <w:szCs w:val="20"/>
              </w:rPr>
            </w:pPr>
            <w:r>
              <w:rPr>
                <w:rFonts w:ascii="Arial" w:eastAsia="宋体" w:hAnsi="Arial" w:cs="Arial"/>
                <w:b/>
                <w:bCs/>
                <w:color w:val="0071C5"/>
                <w:sz w:val="20"/>
                <w:szCs w:val="20"/>
              </w:rPr>
              <w:t>FORWARD-LOOKING STATEMENTS</w:t>
            </w:r>
          </w:p>
        </w:tc>
        <w:tc>
          <w:tcPr>
            <w:tcW w:w="0" w:type="auto"/>
            <w:shd w:val="clear" w:color="auto" w:fill="auto"/>
            <w:tcMar>
              <w:top w:w="40" w:type="dxa"/>
              <w:left w:w="40" w:type="dxa"/>
              <w:bottom w:w="40" w:type="dxa"/>
              <w:right w:w="40" w:type="dxa"/>
            </w:tcMar>
            <w:vAlign w:val="bottom"/>
          </w:tcPr>
          <w:p w14:paraId="3750D64A" w14:textId="77777777" w:rsidR="002541AD" w:rsidRDefault="00901AA6">
            <w:pPr>
              <w:jc w:val="center"/>
              <w:textAlignment w:val="bottom"/>
              <w:rPr>
                <w:rFonts w:ascii="Times New Roman" w:hAnsi="Times New Roman"/>
                <w:sz w:val="18"/>
                <w:szCs w:val="18"/>
              </w:rPr>
            </w:pPr>
            <w:hyperlink r:id="rId7" w:anchor="s3FCA38DF47FB57F09BE72E675D01FB37" w:history="1">
              <w:r>
                <w:rPr>
                  <w:rStyle w:val="a5"/>
                  <w:rFonts w:ascii="Arial" w:eastAsia="宋体" w:hAnsi="Arial" w:cs="Arial"/>
                  <w:sz w:val="18"/>
                  <w:szCs w:val="18"/>
                </w:rPr>
                <w:t>1</w:t>
              </w:r>
            </w:hyperlink>
          </w:p>
        </w:tc>
      </w:tr>
      <w:tr w:rsidR="002541AD" w14:paraId="3750D64E" w14:textId="77777777">
        <w:tc>
          <w:tcPr>
            <w:tcW w:w="0" w:type="auto"/>
            <w:gridSpan w:val="3"/>
            <w:shd w:val="clear" w:color="auto" w:fill="auto"/>
            <w:tcMar>
              <w:top w:w="40" w:type="dxa"/>
              <w:left w:w="40" w:type="dxa"/>
              <w:bottom w:w="40" w:type="dxa"/>
              <w:right w:w="40" w:type="dxa"/>
            </w:tcMar>
            <w:vAlign w:val="bottom"/>
          </w:tcPr>
          <w:p w14:paraId="3750D64C" w14:textId="77777777" w:rsidR="002541AD" w:rsidRDefault="00901AA6">
            <w:pPr>
              <w:textAlignment w:val="bottom"/>
              <w:rPr>
                <w:rFonts w:ascii="Times New Roman" w:hAnsi="Times New Roman"/>
                <w:sz w:val="20"/>
                <w:szCs w:val="20"/>
              </w:rPr>
            </w:pPr>
            <w:r>
              <w:rPr>
                <w:rFonts w:ascii="Arial" w:eastAsia="宋体" w:hAnsi="Arial" w:cs="Arial"/>
                <w:b/>
                <w:bCs/>
                <w:color w:val="0071C5"/>
                <w:sz w:val="20"/>
                <w:szCs w:val="20"/>
              </w:rPr>
              <w:t>OUR PANDEMIC RESPONSE</w:t>
            </w:r>
          </w:p>
        </w:tc>
        <w:tc>
          <w:tcPr>
            <w:tcW w:w="0" w:type="auto"/>
            <w:shd w:val="clear" w:color="auto" w:fill="auto"/>
            <w:tcMar>
              <w:top w:w="40" w:type="dxa"/>
              <w:left w:w="40" w:type="dxa"/>
              <w:bottom w:w="40" w:type="dxa"/>
              <w:right w:w="40" w:type="dxa"/>
            </w:tcMar>
            <w:vAlign w:val="bottom"/>
          </w:tcPr>
          <w:p w14:paraId="3750D64D" w14:textId="77777777" w:rsidR="002541AD" w:rsidRDefault="00901AA6">
            <w:pPr>
              <w:jc w:val="center"/>
              <w:textAlignment w:val="bottom"/>
              <w:rPr>
                <w:rFonts w:ascii="Times New Roman" w:hAnsi="Times New Roman"/>
                <w:sz w:val="18"/>
                <w:szCs w:val="18"/>
              </w:rPr>
            </w:pPr>
            <w:hyperlink r:id="rId8" w:anchor="s549a9573c248495fa64eb1791ee60e71" w:history="1">
              <w:r>
                <w:rPr>
                  <w:rStyle w:val="a5"/>
                  <w:rFonts w:ascii="Arial" w:eastAsia="宋体" w:hAnsi="Arial" w:cs="Arial"/>
                  <w:sz w:val="18"/>
                  <w:szCs w:val="18"/>
                </w:rPr>
                <w:t>2</w:t>
              </w:r>
            </w:hyperlink>
          </w:p>
        </w:tc>
      </w:tr>
      <w:tr w:rsidR="002541AD" w14:paraId="3750D651" w14:textId="77777777">
        <w:tc>
          <w:tcPr>
            <w:tcW w:w="0" w:type="auto"/>
            <w:gridSpan w:val="3"/>
            <w:shd w:val="clear" w:color="auto" w:fill="auto"/>
            <w:tcMar>
              <w:top w:w="40" w:type="dxa"/>
              <w:left w:w="40" w:type="dxa"/>
              <w:bottom w:w="40" w:type="dxa"/>
              <w:right w:w="40" w:type="dxa"/>
            </w:tcMar>
            <w:vAlign w:val="bottom"/>
          </w:tcPr>
          <w:p w14:paraId="3750D64F" w14:textId="77777777" w:rsidR="002541AD" w:rsidRDefault="00901AA6">
            <w:pPr>
              <w:textAlignment w:val="bottom"/>
              <w:rPr>
                <w:rFonts w:ascii="Times New Roman" w:hAnsi="Times New Roman"/>
                <w:sz w:val="20"/>
                <w:szCs w:val="20"/>
              </w:rPr>
            </w:pPr>
            <w:r>
              <w:rPr>
                <w:rFonts w:ascii="Arial" w:eastAsia="宋体" w:hAnsi="Arial" w:cs="Arial"/>
                <w:b/>
                <w:bCs/>
                <w:color w:val="0071C5"/>
                <w:sz w:val="20"/>
                <w:szCs w:val="20"/>
              </w:rPr>
              <w:t>A QUARTER IN REVIEW</w:t>
            </w:r>
          </w:p>
        </w:tc>
        <w:tc>
          <w:tcPr>
            <w:tcW w:w="0" w:type="auto"/>
            <w:shd w:val="clear" w:color="auto" w:fill="auto"/>
            <w:tcMar>
              <w:top w:w="40" w:type="dxa"/>
              <w:left w:w="40" w:type="dxa"/>
              <w:bottom w:w="40" w:type="dxa"/>
              <w:right w:w="40" w:type="dxa"/>
            </w:tcMar>
            <w:vAlign w:val="bottom"/>
          </w:tcPr>
          <w:p w14:paraId="3750D650" w14:textId="77777777" w:rsidR="002541AD" w:rsidRDefault="00901AA6">
            <w:pPr>
              <w:jc w:val="center"/>
              <w:textAlignment w:val="bottom"/>
              <w:rPr>
                <w:rFonts w:ascii="Times New Roman" w:hAnsi="Times New Roman"/>
                <w:sz w:val="18"/>
                <w:szCs w:val="18"/>
              </w:rPr>
            </w:pPr>
            <w:hyperlink r:id="rId9" w:anchor="s898CE8CE4B415C178799E1ABD1798722" w:history="1">
              <w:r>
                <w:rPr>
                  <w:rStyle w:val="a5"/>
                  <w:rFonts w:ascii="Arial" w:eastAsia="宋体" w:hAnsi="Arial" w:cs="Arial"/>
                  <w:sz w:val="18"/>
                  <w:szCs w:val="18"/>
                </w:rPr>
                <w:t>5</w:t>
              </w:r>
            </w:hyperlink>
          </w:p>
        </w:tc>
      </w:tr>
      <w:tr w:rsidR="002541AD" w14:paraId="3750D654" w14:textId="77777777">
        <w:tc>
          <w:tcPr>
            <w:tcW w:w="0" w:type="auto"/>
            <w:gridSpan w:val="3"/>
            <w:shd w:val="clear" w:color="auto" w:fill="auto"/>
            <w:tcMar>
              <w:top w:w="40" w:type="dxa"/>
              <w:left w:w="40" w:type="dxa"/>
              <w:bottom w:w="40" w:type="dxa"/>
              <w:right w:w="40" w:type="dxa"/>
            </w:tcMar>
            <w:vAlign w:val="bottom"/>
          </w:tcPr>
          <w:p w14:paraId="3750D652" w14:textId="77777777" w:rsidR="002541AD" w:rsidRDefault="00901AA6">
            <w:pPr>
              <w:textAlignment w:val="bottom"/>
              <w:rPr>
                <w:rFonts w:ascii="Times New Roman" w:hAnsi="Times New Roman"/>
                <w:sz w:val="20"/>
                <w:szCs w:val="20"/>
              </w:rPr>
            </w:pPr>
            <w:r>
              <w:rPr>
                <w:rFonts w:ascii="Arial" w:eastAsia="宋体" w:hAnsi="Arial" w:cs="Arial"/>
                <w:b/>
                <w:bCs/>
                <w:color w:val="0071C5"/>
                <w:sz w:val="20"/>
                <w:szCs w:val="20"/>
              </w:rPr>
              <w:t>CONSOLIDATED CONDENSED FINANCIAL STATEMENTS AND SUPPLEMENTAL DETAILS</w:t>
            </w:r>
          </w:p>
        </w:tc>
        <w:tc>
          <w:tcPr>
            <w:tcW w:w="0" w:type="auto"/>
            <w:tcBorders>
              <w:bottom w:val="single" w:sz="8" w:space="0" w:color="333333"/>
            </w:tcBorders>
            <w:shd w:val="clear" w:color="auto" w:fill="auto"/>
            <w:tcMar>
              <w:top w:w="40" w:type="dxa"/>
              <w:left w:w="40" w:type="dxa"/>
              <w:bottom w:w="40" w:type="dxa"/>
              <w:right w:w="40" w:type="dxa"/>
            </w:tcMar>
            <w:vAlign w:val="bottom"/>
          </w:tcPr>
          <w:p w14:paraId="3750D65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658" w14:textId="77777777">
        <w:tc>
          <w:tcPr>
            <w:tcW w:w="0" w:type="auto"/>
            <w:tcBorders>
              <w:top w:val="single" w:sz="8" w:space="0" w:color="333333"/>
            </w:tcBorders>
            <w:shd w:val="clear" w:color="auto" w:fill="auto"/>
            <w:tcMar>
              <w:top w:w="40" w:type="dxa"/>
              <w:left w:w="40" w:type="dxa"/>
              <w:bottom w:w="40" w:type="dxa"/>
              <w:right w:w="40" w:type="dxa"/>
            </w:tcMar>
            <w:vAlign w:val="bottom"/>
          </w:tcPr>
          <w:p w14:paraId="3750D65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D656"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Consolidated Condensed Statements of Income</w:t>
            </w:r>
          </w:p>
        </w:tc>
        <w:tc>
          <w:tcPr>
            <w:tcW w:w="0" w:type="auto"/>
            <w:shd w:val="clear" w:color="auto" w:fill="auto"/>
            <w:tcMar>
              <w:top w:w="40" w:type="dxa"/>
              <w:left w:w="40" w:type="dxa"/>
              <w:bottom w:w="40" w:type="dxa"/>
              <w:right w:w="40" w:type="dxa"/>
            </w:tcMar>
            <w:vAlign w:val="bottom"/>
          </w:tcPr>
          <w:p w14:paraId="3750D657" w14:textId="77777777" w:rsidR="002541AD" w:rsidRDefault="00901AA6">
            <w:pPr>
              <w:jc w:val="center"/>
              <w:textAlignment w:val="bottom"/>
              <w:rPr>
                <w:rFonts w:ascii="Times New Roman" w:hAnsi="Times New Roman"/>
                <w:sz w:val="18"/>
                <w:szCs w:val="18"/>
              </w:rPr>
            </w:pPr>
            <w:hyperlink r:id="rId10" w:anchor="s5F58BDAA04075DC086E17ED16A10F828" w:history="1">
              <w:r>
                <w:rPr>
                  <w:rStyle w:val="a5"/>
                  <w:rFonts w:ascii="Arial" w:eastAsia="宋体" w:hAnsi="Arial" w:cs="Arial"/>
                  <w:sz w:val="18"/>
                  <w:szCs w:val="18"/>
                </w:rPr>
                <w:t>6</w:t>
              </w:r>
            </w:hyperlink>
          </w:p>
        </w:tc>
      </w:tr>
      <w:tr w:rsidR="002541AD" w14:paraId="3750D65C" w14:textId="77777777">
        <w:tc>
          <w:tcPr>
            <w:tcW w:w="0" w:type="auto"/>
            <w:shd w:val="clear" w:color="auto" w:fill="auto"/>
            <w:tcMar>
              <w:top w:w="40" w:type="dxa"/>
              <w:left w:w="40" w:type="dxa"/>
              <w:bottom w:w="40" w:type="dxa"/>
              <w:right w:w="40" w:type="dxa"/>
            </w:tcMar>
            <w:vAlign w:val="bottom"/>
          </w:tcPr>
          <w:p w14:paraId="3750D65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D65A"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Consolidated Condensed Statements of Comprehensive Income</w:t>
            </w:r>
          </w:p>
        </w:tc>
        <w:tc>
          <w:tcPr>
            <w:tcW w:w="0" w:type="auto"/>
            <w:shd w:val="clear" w:color="auto" w:fill="auto"/>
            <w:tcMar>
              <w:top w:w="40" w:type="dxa"/>
              <w:left w:w="40" w:type="dxa"/>
              <w:bottom w:w="40" w:type="dxa"/>
              <w:right w:w="40" w:type="dxa"/>
            </w:tcMar>
            <w:vAlign w:val="bottom"/>
          </w:tcPr>
          <w:p w14:paraId="3750D65B" w14:textId="77777777" w:rsidR="002541AD" w:rsidRDefault="00901AA6">
            <w:pPr>
              <w:jc w:val="center"/>
              <w:textAlignment w:val="bottom"/>
              <w:rPr>
                <w:rFonts w:ascii="Times New Roman" w:hAnsi="Times New Roman"/>
                <w:sz w:val="18"/>
                <w:szCs w:val="18"/>
              </w:rPr>
            </w:pPr>
            <w:hyperlink r:id="rId11" w:anchor="s5AD7DE96BD4E5582B86D3455A5ACD00B" w:history="1">
              <w:r>
                <w:rPr>
                  <w:rStyle w:val="a5"/>
                  <w:rFonts w:ascii="Arial" w:eastAsia="宋体" w:hAnsi="Arial" w:cs="Arial"/>
                  <w:sz w:val="18"/>
                  <w:szCs w:val="18"/>
                </w:rPr>
                <w:t>7</w:t>
              </w:r>
            </w:hyperlink>
          </w:p>
        </w:tc>
      </w:tr>
      <w:tr w:rsidR="002541AD" w14:paraId="3750D660" w14:textId="77777777">
        <w:tc>
          <w:tcPr>
            <w:tcW w:w="0" w:type="auto"/>
            <w:shd w:val="clear" w:color="auto" w:fill="auto"/>
            <w:tcMar>
              <w:top w:w="40" w:type="dxa"/>
              <w:left w:w="40" w:type="dxa"/>
              <w:bottom w:w="40" w:type="dxa"/>
              <w:right w:w="40" w:type="dxa"/>
            </w:tcMar>
            <w:vAlign w:val="bottom"/>
          </w:tcPr>
          <w:p w14:paraId="3750D65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D65E"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Consolidated Condensed Balance Sheets</w:t>
            </w:r>
          </w:p>
        </w:tc>
        <w:tc>
          <w:tcPr>
            <w:tcW w:w="0" w:type="auto"/>
            <w:shd w:val="clear" w:color="auto" w:fill="auto"/>
            <w:tcMar>
              <w:top w:w="40" w:type="dxa"/>
              <w:left w:w="40" w:type="dxa"/>
              <w:bottom w:w="40" w:type="dxa"/>
              <w:right w:w="40" w:type="dxa"/>
            </w:tcMar>
            <w:vAlign w:val="bottom"/>
          </w:tcPr>
          <w:p w14:paraId="3750D65F" w14:textId="77777777" w:rsidR="002541AD" w:rsidRDefault="00901AA6">
            <w:pPr>
              <w:jc w:val="center"/>
              <w:textAlignment w:val="bottom"/>
              <w:rPr>
                <w:rFonts w:ascii="Times New Roman" w:hAnsi="Times New Roman"/>
                <w:sz w:val="18"/>
                <w:szCs w:val="18"/>
              </w:rPr>
            </w:pPr>
            <w:hyperlink r:id="rId12" w:anchor="s55328B827BDE5AF2A2208428A56BD488" w:history="1">
              <w:r>
                <w:rPr>
                  <w:rStyle w:val="a5"/>
                  <w:rFonts w:ascii="Arial" w:eastAsia="宋体" w:hAnsi="Arial" w:cs="Arial"/>
                  <w:sz w:val="18"/>
                  <w:szCs w:val="18"/>
                </w:rPr>
                <w:t>8</w:t>
              </w:r>
            </w:hyperlink>
          </w:p>
        </w:tc>
      </w:tr>
      <w:tr w:rsidR="002541AD" w14:paraId="3750D664" w14:textId="77777777">
        <w:tc>
          <w:tcPr>
            <w:tcW w:w="0" w:type="auto"/>
            <w:shd w:val="clear" w:color="auto" w:fill="auto"/>
            <w:tcMar>
              <w:top w:w="40" w:type="dxa"/>
              <w:left w:w="40" w:type="dxa"/>
              <w:bottom w:w="40" w:type="dxa"/>
              <w:right w:w="40" w:type="dxa"/>
            </w:tcMar>
            <w:vAlign w:val="bottom"/>
          </w:tcPr>
          <w:p w14:paraId="3750D66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D662"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Consolidated Condensed Statements of Cash Flows</w:t>
            </w:r>
          </w:p>
        </w:tc>
        <w:tc>
          <w:tcPr>
            <w:tcW w:w="0" w:type="auto"/>
            <w:shd w:val="clear" w:color="auto" w:fill="auto"/>
            <w:tcMar>
              <w:top w:w="40" w:type="dxa"/>
              <w:left w:w="40" w:type="dxa"/>
              <w:bottom w:w="40" w:type="dxa"/>
              <w:right w:w="40" w:type="dxa"/>
            </w:tcMar>
            <w:vAlign w:val="bottom"/>
          </w:tcPr>
          <w:p w14:paraId="3750D663" w14:textId="77777777" w:rsidR="002541AD" w:rsidRDefault="00901AA6">
            <w:pPr>
              <w:jc w:val="center"/>
              <w:textAlignment w:val="bottom"/>
              <w:rPr>
                <w:rFonts w:ascii="Times New Roman" w:hAnsi="Times New Roman"/>
                <w:sz w:val="18"/>
                <w:szCs w:val="18"/>
              </w:rPr>
            </w:pPr>
            <w:hyperlink r:id="rId13" w:anchor="sC1F78CADF2A5519DB8850DE212C235B7" w:history="1">
              <w:r>
                <w:rPr>
                  <w:rStyle w:val="a5"/>
                  <w:rFonts w:ascii="Arial" w:eastAsia="宋体" w:hAnsi="Arial" w:cs="Arial"/>
                  <w:sz w:val="18"/>
                  <w:szCs w:val="18"/>
                </w:rPr>
                <w:t>9</w:t>
              </w:r>
            </w:hyperlink>
          </w:p>
        </w:tc>
      </w:tr>
      <w:tr w:rsidR="002541AD" w14:paraId="3750D668" w14:textId="77777777">
        <w:tc>
          <w:tcPr>
            <w:tcW w:w="0" w:type="auto"/>
            <w:shd w:val="clear" w:color="auto" w:fill="auto"/>
            <w:tcMar>
              <w:top w:w="40" w:type="dxa"/>
              <w:left w:w="40" w:type="dxa"/>
              <w:bottom w:w="40" w:type="dxa"/>
              <w:right w:w="40" w:type="dxa"/>
            </w:tcMar>
            <w:vAlign w:val="bottom"/>
          </w:tcPr>
          <w:p w14:paraId="3750D66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D666"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Consolidated Condensed Statements of Stockholders' Equity</w:t>
            </w:r>
          </w:p>
        </w:tc>
        <w:tc>
          <w:tcPr>
            <w:tcW w:w="0" w:type="auto"/>
            <w:shd w:val="clear" w:color="auto" w:fill="auto"/>
            <w:tcMar>
              <w:top w:w="40" w:type="dxa"/>
              <w:left w:w="40" w:type="dxa"/>
              <w:bottom w:w="40" w:type="dxa"/>
              <w:right w:w="40" w:type="dxa"/>
            </w:tcMar>
            <w:vAlign w:val="bottom"/>
          </w:tcPr>
          <w:p w14:paraId="3750D667" w14:textId="77777777" w:rsidR="002541AD" w:rsidRDefault="00901AA6">
            <w:pPr>
              <w:jc w:val="center"/>
              <w:textAlignment w:val="bottom"/>
              <w:rPr>
                <w:rFonts w:ascii="Times New Roman" w:hAnsi="Times New Roman"/>
                <w:sz w:val="18"/>
                <w:szCs w:val="18"/>
              </w:rPr>
            </w:pPr>
            <w:hyperlink r:id="rId14" w:anchor="s042E63E07E8652F0B247BEF6A6386438" w:history="1">
              <w:r>
                <w:rPr>
                  <w:rStyle w:val="a5"/>
                  <w:rFonts w:ascii="Arial" w:eastAsia="宋体" w:hAnsi="Arial" w:cs="Arial"/>
                  <w:sz w:val="18"/>
                  <w:szCs w:val="18"/>
                </w:rPr>
                <w:t>10</w:t>
              </w:r>
            </w:hyperlink>
          </w:p>
        </w:tc>
      </w:tr>
      <w:tr w:rsidR="002541AD" w14:paraId="3750D66C" w14:textId="77777777">
        <w:tc>
          <w:tcPr>
            <w:tcW w:w="0" w:type="auto"/>
            <w:shd w:val="clear" w:color="auto" w:fill="auto"/>
            <w:tcMar>
              <w:top w:w="40" w:type="dxa"/>
              <w:left w:w="40" w:type="dxa"/>
              <w:bottom w:w="40" w:type="dxa"/>
              <w:right w:w="40" w:type="dxa"/>
            </w:tcMar>
            <w:vAlign w:val="bottom"/>
          </w:tcPr>
          <w:p w14:paraId="3750D66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D66A"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Notes to Consolidated Condensed Financial Statements</w:t>
            </w:r>
          </w:p>
        </w:tc>
        <w:tc>
          <w:tcPr>
            <w:tcW w:w="0" w:type="auto"/>
            <w:shd w:val="clear" w:color="auto" w:fill="auto"/>
            <w:tcMar>
              <w:top w:w="40" w:type="dxa"/>
              <w:left w:w="40" w:type="dxa"/>
              <w:bottom w:w="40" w:type="dxa"/>
              <w:right w:w="40" w:type="dxa"/>
            </w:tcMar>
            <w:vAlign w:val="bottom"/>
          </w:tcPr>
          <w:p w14:paraId="3750D66B" w14:textId="77777777" w:rsidR="002541AD" w:rsidRDefault="00901AA6">
            <w:pPr>
              <w:jc w:val="center"/>
              <w:textAlignment w:val="bottom"/>
              <w:rPr>
                <w:rFonts w:ascii="Times New Roman" w:hAnsi="Times New Roman"/>
                <w:sz w:val="18"/>
                <w:szCs w:val="18"/>
              </w:rPr>
            </w:pPr>
            <w:hyperlink r:id="rId15" w:anchor="sA0B0A50CE08551FB839D016427F4F57E" w:history="1">
              <w:r>
                <w:rPr>
                  <w:rStyle w:val="a5"/>
                  <w:rFonts w:ascii="Arial" w:eastAsia="宋体" w:hAnsi="Arial" w:cs="Arial"/>
                  <w:sz w:val="18"/>
                  <w:szCs w:val="18"/>
                </w:rPr>
                <w:t>11</w:t>
              </w:r>
            </w:hyperlink>
          </w:p>
        </w:tc>
      </w:tr>
      <w:tr w:rsidR="002541AD" w14:paraId="3750D670" w14:textId="77777777">
        <w:tc>
          <w:tcPr>
            <w:tcW w:w="0" w:type="auto"/>
            <w:shd w:val="clear" w:color="auto" w:fill="auto"/>
            <w:tcMar>
              <w:top w:w="40" w:type="dxa"/>
              <w:left w:w="40" w:type="dxa"/>
              <w:bottom w:w="40" w:type="dxa"/>
              <w:right w:w="40" w:type="dxa"/>
            </w:tcMar>
            <w:vAlign w:val="bottom"/>
          </w:tcPr>
          <w:p w14:paraId="3750D66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D66E"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Key Terms</w:t>
            </w:r>
          </w:p>
        </w:tc>
        <w:tc>
          <w:tcPr>
            <w:tcW w:w="0" w:type="auto"/>
            <w:shd w:val="clear" w:color="auto" w:fill="auto"/>
            <w:tcMar>
              <w:top w:w="40" w:type="dxa"/>
              <w:left w:w="40" w:type="dxa"/>
              <w:bottom w:w="40" w:type="dxa"/>
              <w:right w:w="40" w:type="dxa"/>
            </w:tcMar>
            <w:vAlign w:val="bottom"/>
          </w:tcPr>
          <w:p w14:paraId="3750D66F" w14:textId="77777777" w:rsidR="002541AD" w:rsidRDefault="00901AA6">
            <w:pPr>
              <w:jc w:val="center"/>
              <w:textAlignment w:val="bottom"/>
              <w:rPr>
                <w:rFonts w:ascii="Times New Roman" w:hAnsi="Times New Roman"/>
                <w:sz w:val="18"/>
                <w:szCs w:val="18"/>
              </w:rPr>
            </w:pPr>
            <w:hyperlink r:id="rId16" w:anchor="s8F881AC16AAA5391B5D0A47508E80CAC" w:history="1">
              <w:r>
                <w:rPr>
                  <w:rStyle w:val="a5"/>
                  <w:rFonts w:ascii="Arial" w:eastAsia="宋体" w:hAnsi="Arial" w:cs="Arial"/>
                  <w:sz w:val="18"/>
                  <w:szCs w:val="18"/>
                </w:rPr>
                <w:t>26</w:t>
              </w:r>
            </w:hyperlink>
          </w:p>
        </w:tc>
      </w:tr>
      <w:tr w:rsidR="002541AD" w14:paraId="3750D675" w14:textId="77777777">
        <w:tc>
          <w:tcPr>
            <w:tcW w:w="0" w:type="auto"/>
            <w:shd w:val="clear" w:color="auto" w:fill="auto"/>
            <w:tcMar>
              <w:top w:w="40" w:type="dxa"/>
              <w:left w:w="40" w:type="dxa"/>
              <w:bottom w:w="40" w:type="dxa"/>
              <w:right w:w="40" w:type="dxa"/>
            </w:tcMar>
            <w:vAlign w:val="bottom"/>
          </w:tcPr>
          <w:p w14:paraId="3750D67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67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67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67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678" w14:textId="77777777">
        <w:tc>
          <w:tcPr>
            <w:tcW w:w="0" w:type="auto"/>
            <w:gridSpan w:val="3"/>
            <w:tcBorders>
              <w:bottom w:val="single" w:sz="8" w:space="0" w:color="333333"/>
            </w:tcBorders>
            <w:shd w:val="clear" w:color="auto" w:fill="auto"/>
            <w:tcMar>
              <w:top w:w="40" w:type="dxa"/>
              <w:left w:w="40" w:type="dxa"/>
              <w:bottom w:w="40" w:type="dxa"/>
              <w:right w:w="40" w:type="dxa"/>
            </w:tcMar>
            <w:vAlign w:val="bottom"/>
          </w:tcPr>
          <w:p w14:paraId="3750D676" w14:textId="77777777" w:rsidR="002541AD" w:rsidRDefault="00901AA6">
            <w:pPr>
              <w:textAlignment w:val="bottom"/>
              <w:rPr>
                <w:rFonts w:ascii="Times New Roman" w:hAnsi="Times New Roman"/>
                <w:sz w:val="20"/>
                <w:szCs w:val="20"/>
              </w:rPr>
            </w:pPr>
            <w:r>
              <w:rPr>
                <w:rFonts w:ascii="Arial" w:eastAsia="宋体" w:hAnsi="Arial" w:cs="Arial"/>
                <w:b/>
                <w:bCs/>
                <w:color w:val="0071C5"/>
                <w:sz w:val="20"/>
                <w:szCs w:val="20"/>
              </w:rPr>
              <w:t>MANAGEMENT'S DISCUSSION AND ANALYSIS</w:t>
            </w:r>
          </w:p>
        </w:tc>
        <w:tc>
          <w:tcPr>
            <w:tcW w:w="0" w:type="auto"/>
            <w:tcBorders>
              <w:bottom w:val="single" w:sz="8" w:space="0" w:color="333333"/>
            </w:tcBorders>
            <w:shd w:val="clear" w:color="auto" w:fill="auto"/>
            <w:tcMar>
              <w:top w:w="40" w:type="dxa"/>
              <w:left w:w="40" w:type="dxa"/>
              <w:bottom w:w="40" w:type="dxa"/>
              <w:right w:w="40" w:type="dxa"/>
            </w:tcMar>
            <w:vAlign w:val="bottom"/>
          </w:tcPr>
          <w:p w14:paraId="3750D67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67C" w14:textId="77777777">
        <w:tc>
          <w:tcPr>
            <w:tcW w:w="0" w:type="auto"/>
            <w:shd w:val="clear" w:color="auto" w:fill="auto"/>
            <w:tcMar>
              <w:top w:w="40" w:type="dxa"/>
              <w:left w:w="40" w:type="dxa"/>
              <w:bottom w:w="40" w:type="dxa"/>
              <w:right w:w="40" w:type="dxa"/>
            </w:tcMar>
            <w:vAlign w:val="bottom"/>
          </w:tcPr>
          <w:p w14:paraId="3750D67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D67A"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Segment Trends and Results</w:t>
            </w:r>
          </w:p>
        </w:tc>
        <w:tc>
          <w:tcPr>
            <w:tcW w:w="0" w:type="auto"/>
            <w:shd w:val="clear" w:color="auto" w:fill="auto"/>
            <w:tcMar>
              <w:top w:w="40" w:type="dxa"/>
              <w:left w:w="40" w:type="dxa"/>
              <w:bottom w:w="40" w:type="dxa"/>
              <w:right w:w="40" w:type="dxa"/>
            </w:tcMar>
            <w:vAlign w:val="bottom"/>
          </w:tcPr>
          <w:p w14:paraId="3750D67B" w14:textId="77777777" w:rsidR="002541AD" w:rsidRDefault="00901AA6">
            <w:pPr>
              <w:jc w:val="center"/>
              <w:textAlignment w:val="bottom"/>
              <w:rPr>
                <w:rFonts w:ascii="Times New Roman" w:hAnsi="Times New Roman"/>
                <w:sz w:val="18"/>
                <w:szCs w:val="18"/>
              </w:rPr>
            </w:pPr>
            <w:hyperlink r:id="rId17" w:anchor="s233B4506F818528FB70CD5F957C986A9" w:history="1">
              <w:r>
                <w:rPr>
                  <w:rStyle w:val="a5"/>
                  <w:rFonts w:ascii="Arial" w:eastAsia="宋体" w:hAnsi="Arial" w:cs="Arial"/>
                  <w:sz w:val="18"/>
                  <w:szCs w:val="18"/>
                </w:rPr>
                <w:t>27</w:t>
              </w:r>
            </w:hyperlink>
          </w:p>
        </w:tc>
      </w:tr>
      <w:tr w:rsidR="002541AD" w14:paraId="3750D680" w14:textId="77777777">
        <w:tc>
          <w:tcPr>
            <w:tcW w:w="0" w:type="auto"/>
            <w:shd w:val="clear" w:color="auto" w:fill="auto"/>
            <w:tcMar>
              <w:top w:w="40" w:type="dxa"/>
              <w:left w:w="40" w:type="dxa"/>
              <w:bottom w:w="40" w:type="dxa"/>
              <w:right w:w="40" w:type="dxa"/>
            </w:tcMar>
            <w:vAlign w:val="bottom"/>
          </w:tcPr>
          <w:p w14:paraId="3750D67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D67E"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Consolidated Results of Operations</w:t>
            </w:r>
          </w:p>
        </w:tc>
        <w:tc>
          <w:tcPr>
            <w:tcW w:w="0" w:type="auto"/>
            <w:shd w:val="clear" w:color="auto" w:fill="auto"/>
            <w:tcMar>
              <w:top w:w="40" w:type="dxa"/>
              <w:left w:w="40" w:type="dxa"/>
              <w:bottom w:w="40" w:type="dxa"/>
              <w:right w:w="40" w:type="dxa"/>
            </w:tcMar>
            <w:vAlign w:val="bottom"/>
          </w:tcPr>
          <w:p w14:paraId="3750D67F" w14:textId="77777777" w:rsidR="002541AD" w:rsidRDefault="00901AA6">
            <w:pPr>
              <w:jc w:val="center"/>
              <w:textAlignment w:val="bottom"/>
              <w:rPr>
                <w:rFonts w:ascii="Times New Roman" w:hAnsi="Times New Roman"/>
                <w:sz w:val="18"/>
                <w:szCs w:val="18"/>
              </w:rPr>
            </w:pPr>
            <w:hyperlink r:id="rId18" w:anchor="s47AE847016BF52D2BB7E7F39204F4B31" w:history="1">
              <w:r>
                <w:rPr>
                  <w:rStyle w:val="a5"/>
                  <w:rFonts w:ascii="Arial" w:eastAsia="宋体" w:hAnsi="Arial" w:cs="Arial"/>
                  <w:sz w:val="18"/>
                  <w:szCs w:val="18"/>
                </w:rPr>
                <w:t>32</w:t>
              </w:r>
            </w:hyperlink>
          </w:p>
        </w:tc>
      </w:tr>
      <w:tr w:rsidR="002541AD" w14:paraId="3750D684" w14:textId="77777777">
        <w:tc>
          <w:tcPr>
            <w:tcW w:w="0" w:type="auto"/>
            <w:shd w:val="clear" w:color="auto" w:fill="auto"/>
            <w:tcMar>
              <w:top w:w="40" w:type="dxa"/>
              <w:left w:w="40" w:type="dxa"/>
              <w:bottom w:w="40" w:type="dxa"/>
              <w:right w:w="40" w:type="dxa"/>
            </w:tcMar>
            <w:vAlign w:val="bottom"/>
          </w:tcPr>
          <w:p w14:paraId="3750D68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D682"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Liquidity and Capital Resources</w:t>
            </w:r>
          </w:p>
        </w:tc>
        <w:tc>
          <w:tcPr>
            <w:tcW w:w="0" w:type="auto"/>
            <w:shd w:val="clear" w:color="auto" w:fill="auto"/>
            <w:tcMar>
              <w:top w:w="40" w:type="dxa"/>
              <w:left w:w="40" w:type="dxa"/>
              <w:bottom w:w="40" w:type="dxa"/>
              <w:right w:w="40" w:type="dxa"/>
            </w:tcMar>
            <w:vAlign w:val="bottom"/>
          </w:tcPr>
          <w:p w14:paraId="3750D683" w14:textId="77777777" w:rsidR="002541AD" w:rsidRDefault="00901AA6">
            <w:pPr>
              <w:jc w:val="center"/>
              <w:textAlignment w:val="bottom"/>
              <w:rPr>
                <w:rFonts w:ascii="Times New Roman" w:hAnsi="Times New Roman"/>
                <w:sz w:val="18"/>
                <w:szCs w:val="18"/>
              </w:rPr>
            </w:pPr>
            <w:hyperlink r:id="rId19" w:anchor="sE8E489FC8E44571A8F0B9D0DA01FDC80" w:history="1">
              <w:r>
                <w:rPr>
                  <w:rStyle w:val="a5"/>
                  <w:rFonts w:ascii="Arial" w:eastAsia="宋体" w:hAnsi="Arial" w:cs="Arial"/>
                  <w:sz w:val="18"/>
                  <w:szCs w:val="18"/>
                </w:rPr>
                <w:t>36</w:t>
              </w:r>
            </w:hyperlink>
          </w:p>
        </w:tc>
      </w:tr>
      <w:tr w:rsidR="002541AD" w14:paraId="3750D688" w14:textId="77777777">
        <w:tc>
          <w:tcPr>
            <w:tcW w:w="0" w:type="auto"/>
            <w:shd w:val="clear" w:color="auto" w:fill="auto"/>
            <w:tcMar>
              <w:top w:w="40" w:type="dxa"/>
              <w:left w:w="40" w:type="dxa"/>
              <w:bottom w:w="40" w:type="dxa"/>
              <w:right w:w="40" w:type="dxa"/>
            </w:tcMar>
            <w:vAlign w:val="bottom"/>
          </w:tcPr>
          <w:p w14:paraId="3750D68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D686"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Contractual Obligations</w:t>
            </w:r>
          </w:p>
        </w:tc>
        <w:tc>
          <w:tcPr>
            <w:tcW w:w="0" w:type="auto"/>
            <w:shd w:val="clear" w:color="auto" w:fill="auto"/>
            <w:tcMar>
              <w:top w:w="40" w:type="dxa"/>
              <w:left w:w="40" w:type="dxa"/>
              <w:bottom w:w="40" w:type="dxa"/>
              <w:right w:w="40" w:type="dxa"/>
            </w:tcMar>
            <w:vAlign w:val="bottom"/>
          </w:tcPr>
          <w:p w14:paraId="3750D687" w14:textId="77777777" w:rsidR="002541AD" w:rsidRDefault="00901AA6">
            <w:pPr>
              <w:jc w:val="center"/>
              <w:textAlignment w:val="bottom"/>
              <w:rPr>
                <w:rFonts w:ascii="Times New Roman" w:hAnsi="Times New Roman"/>
                <w:sz w:val="18"/>
                <w:szCs w:val="18"/>
              </w:rPr>
            </w:pPr>
            <w:hyperlink r:id="rId20" w:anchor="sE5F9FE824CD350629819D84CE9698E50" w:history="1">
              <w:r>
                <w:rPr>
                  <w:rStyle w:val="a5"/>
                  <w:rFonts w:ascii="Arial" w:eastAsia="宋体" w:hAnsi="Arial" w:cs="Arial"/>
                  <w:sz w:val="18"/>
                  <w:szCs w:val="18"/>
                </w:rPr>
                <w:t>37</w:t>
              </w:r>
            </w:hyperlink>
          </w:p>
        </w:tc>
      </w:tr>
      <w:tr w:rsidR="002541AD" w14:paraId="3750D68C" w14:textId="77777777">
        <w:tc>
          <w:tcPr>
            <w:tcW w:w="0" w:type="auto"/>
            <w:shd w:val="clear" w:color="auto" w:fill="auto"/>
            <w:tcMar>
              <w:top w:w="40" w:type="dxa"/>
              <w:left w:w="40" w:type="dxa"/>
              <w:bottom w:w="40" w:type="dxa"/>
              <w:right w:w="40" w:type="dxa"/>
            </w:tcMar>
            <w:vAlign w:val="bottom"/>
          </w:tcPr>
          <w:p w14:paraId="3750D68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D68A"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Quantitative and Qualitative Disclosures about Market Risk</w:t>
            </w:r>
          </w:p>
        </w:tc>
        <w:tc>
          <w:tcPr>
            <w:tcW w:w="0" w:type="auto"/>
            <w:shd w:val="clear" w:color="auto" w:fill="auto"/>
            <w:tcMar>
              <w:top w:w="40" w:type="dxa"/>
              <w:left w:w="40" w:type="dxa"/>
              <w:bottom w:w="40" w:type="dxa"/>
              <w:right w:w="40" w:type="dxa"/>
            </w:tcMar>
            <w:vAlign w:val="bottom"/>
          </w:tcPr>
          <w:p w14:paraId="3750D68B" w14:textId="77777777" w:rsidR="002541AD" w:rsidRDefault="00901AA6">
            <w:pPr>
              <w:ind w:hanging="1440"/>
              <w:jc w:val="center"/>
              <w:textAlignment w:val="bottom"/>
              <w:rPr>
                <w:rFonts w:ascii="Times New Roman" w:hAnsi="Times New Roman"/>
                <w:sz w:val="18"/>
                <w:szCs w:val="18"/>
              </w:rPr>
            </w:pPr>
            <w:hyperlink r:id="rId21" w:anchor="s9FEC776597E85805B42CDA82C9A74D61" w:history="1">
              <w:r>
                <w:rPr>
                  <w:rStyle w:val="a5"/>
                  <w:rFonts w:ascii="Arial" w:eastAsia="宋体" w:hAnsi="Arial" w:cs="Arial"/>
                  <w:sz w:val="18"/>
                  <w:szCs w:val="18"/>
                </w:rPr>
                <w:t>37</w:t>
              </w:r>
            </w:hyperlink>
          </w:p>
        </w:tc>
      </w:tr>
      <w:tr w:rsidR="002541AD" w14:paraId="3750D690" w14:textId="77777777">
        <w:tc>
          <w:tcPr>
            <w:tcW w:w="0" w:type="auto"/>
            <w:shd w:val="clear" w:color="auto" w:fill="auto"/>
            <w:tcMar>
              <w:top w:w="40" w:type="dxa"/>
              <w:left w:w="40" w:type="dxa"/>
              <w:bottom w:w="40" w:type="dxa"/>
              <w:right w:w="40" w:type="dxa"/>
            </w:tcMar>
            <w:vAlign w:val="bottom"/>
          </w:tcPr>
          <w:p w14:paraId="3750D68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gridSpan w:val="2"/>
            <w:shd w:val="clear" w:color="auto" w:fill="auto"/>
            <w:tcMar>
              <w:top w:w="40" w:type="dxa"/>
              <w:left w:w="40" w:type="dxa"/>
              <w:bottom w:w="40" w:type="dxa"/>
              <w:right w:w="40" w:type="dxa"/>
            </w:tcMar>
            <w:vAlign w:val="bottom"/>
          </w:tcPr>
          <w:p w14:paraId="3750D68E"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Non-GAAP Financial Measures</w:t>
            </w:r>
          </w:p>
        </w:tc>
        <w:tc>
          <w:tcPr>
            <w:tcW w:w="0" w:type="auto"/>
            <w:shd w:val="clear" w:color="auto" w:fill="auto"/>
            <w:tcMar>
              <w:top w:w="40" w:type="dxa"/>
              <w:left w:w="40" w:type="dxa"/>
              <w:bottom w:w="40" w:type="dxa"/>
              <w:right w:w="40" w:type="dxa"/>
            </w:tcMar>
            <w:vAlign w:val="bottom"/>
          </w:tcPr>
          <w:p w14:paraId="3750D68F" w14:textId="77777777" w:rsidR="002541AD" w:rsidRDefault="00901AA6">
            <w:pPr>
              <w:ind w:hanging="1440"/>
              <w:jc w:val="center"/>
              <w:textAlignment w:val="bottom"/>
              <w:rPr>
                <w:rFonts w:ascii="Times New Roman" w:hAnsi="Times New Roman"/>
                <w:sz w:val="18"/>
                <w:szCs w:val="18"/>
              </w:rPr>
            </w:pPr>
            <w:hyperlink r:id="rId22" w:anchor="s5E9DC190CE3A58BFB901D8689490E9BD" w:history="1">
              <w:r>
                <w:rPr>
                  <w:rStyle w:val="a5"/>
                  <w:rFonts w:ascii="Arial" w:eastAsia="宋体" w:hAnsi="Arial" w:cs="Arial"/>
                  <w:sz w:val="18"/>
                  <w:szCs w:val="18"/>
                </w:rPr>
                <w:t>38</w:t>
              </w:r>
            </w:hyperlink>
          </w:p>
        </w:tc>
      </w:tr>
      <w:tr w:rsidR="002541AD" w14:paraId="3750D695" w14:textId="77777777">
        <w:tc>
          <w:tcPr>
            <w:tcW w:w="0" w:type="auto"/>
            <w:shd w:val="clear" w:color="auto" w:fill="auto"/>
            <w:tcMar>
              <w:top w:w="40" w:type="dxa"/>
              <w:left w:w="40" w:type="dxa"/>
              <w:bottom w:w="40" w:type="dxa"/>
              <w:right w:w="40" w:type="dxa"/>
            </w:tcMar>
            <w:vAlign w:val="bottom"/>
          </w:tcPr>
          <w:p w14:paraId="3750D69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69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69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69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698" w14:textId="77777777">
        <w:tc>
          <w:tcPr>
            <w:tcW w:w="0" w:type="auto"/>
            <w:gridSpan w:val="3"/>
            <w:shd w:val="clear" w:color="auto" w:fill="auto"/>
            <w:tcMar>
              <w:top w:w="40" w:type="dxa"/>
              <w:left w:w="40" w:type="dxa"/>
              <w:bottom w:w="40" w:type="dxa"/>
              <w:right w:w="40" w:type="dxa"/>
            </w:tcMar>
            <w:vAlign w:val="bottom"/>
          </w:tcPr>
          <w:p w14:paraId="3750D696" w14:textId="77777777" w:rsidR="002541AD" w:rsidRDefault="00901AA6">
            <w:pPr>
              <w:textAlignment w:val="bottom"/>
              <w:rPr>
                <w:rFonts w:ascii="Times New Roman" w:hAnsi="Times New Roman"/>
                <w:sz w:val="20"/>
                <w:szCs w:val="20"/>
              </w:rPr>
            </w:pPr>
            <w:r>
              <w:rPr>
                <w:rFonts w:ascii="Arial" w:eastAsia="宋体" w:hAnsi="Arial" w:cs="Arial"/>
                <w:b/>
                <w:bCs/>
                <w:color w:val="0071C5"/>
                <w:sz w:val="20"/>
                <w:szCs w:val="20"/>
              </w:rPr>
              <w:t>OTHER KEY INFORMATION</w:t>
            </w:r>
          </w:p>
        </w:tc>
        <w:tc>
          <w:tcPr>
            <w:tcW w:w="0" w:type="auto"/>
            <w:tcBorders>
              <w:bottom w:val="single" w:sz="8" w:space="0" w:color="333333"/>
            </w:tcBorders>
            <w:shd w:val="clear" w:color="auto" w:fill="auto"/>
            <w:tcMar>
              <w:top w:w="40" w:type="dxa"/>
              <w:left w:w="40" w:type="dxa"/>
              <w:bottom w:w="40" w:type="dxa"/>
              <w:right w:w="40" w:type="dxa"/>
            </w:tcMar>
            <w:vAlign w:val="bottom"/>
          </w:tcPr>
          <w:p w14:paraId="3750D69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69C" w14:textId="77777777">
        <w:tc>
          <w:tcPr>
            <w:tcW w:w="0" w:type="auto"/>
            <w:tcBorders>
              <w:top w:val="single" w:sz="8" w:space="0" w:color="333333"/>
            </w:tcBorders>
            <w:shd w:val="clear" w:color="auto" w:fill="auto"/>
            <w:tcMar>
              <w:top w:w="40" w:type="dxa"/>
              <w:left w:w="40" w:type="dxa"/>
              <w:bottom w:w="40" w:type="dxa"/>
              <w:right w:w="40" w:type="dxa"/>
            </w:tcMar>
            <w:vAlign w:val="bottom"/>
          </w:tcPr>
          <w:p w14:paraId="3750D69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D69A"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Risk Factors</w:t>
            </w:r>
          </w:p>
        </w:tc>
        <w:tc>
          <w:tcPr>
            <w:tcW w:w="0" w:type="auto"/>
            <w:shd w:val="clear" w:color="auto" w:fill="auto"/>
            <w:tcMar>
              <w:top w:w="40" w:type="dxa"/>
              <w:left w:w="40" w:type="dxa"/>
              <w:bottom w:w="40" w:type="dxa"/>
              <w:right w:w="40" w:type="dxa"/>
            </w:tcMar>
            <w:vAlign w:val="bottom"/>
          </w:tcPr>
          <w:p w14:paraId="3750D69B" w14:textId="77777777" w:rsidR="002541AD" w:rsidRDefault="00901AA6">
            <w:pPr>
              <w:jc w:val="center"/>
              <w:textAlignment w:val="bottom"/>
              <w:rPr>
                <w:rFonts w:ascii="Times New Roman" w:hAnsi="Times New Roman"/>
                <w:sz w:val="18"/>
                <w:szCs w:val="18"/>
              </w:rPr>
            </w:pPr>
            <w:hyperlink r:id="rId23" w:anchor="sF77ED456DC7751F782AE7AE2DD56067D" w:history="1">
              <w:r>
                <w:rPr>
                  <w:rStyle w:val="a5"/>
                  <w:rFonts w:ascii="Arial" w:eastAsia="宋体" w:hAnsi="Arial" w:cs="Arial"/>
                  <w:sz w:val="18"/>
                  <w:szCs w:val="18"/>
                </w:rPr>
                <w:t>40</w:t>
              </w:r>
            </w:hyperlink>
          </w:p>
        </w:tc>
      </w:tr>
      <w:tr w:rsidR="002541AD" w14:paraId="3750D6A0" w14:textId="77777777">
        <w:tc>
          <w:tcPr>
            <w:tcW w:w="0" w:type="auto"/>
            <w:shd w:val="clear" w:color="auto" w:fill="auto"/>
            <w:tcMar>
              <w:top w:w="40" w:type="dxa"/>
              <w:left w:w="40" w:type="dxa"/>
              <w:bottom w:w="40" w:type="dxa"/>
              <w:right w:w="40" w:type="dxa"/>
            </w:tcMar>
            <w:vAlign w:val="bottom"/>
          </w:tcPr>
          <w:p w14:paraId="3750D69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D69E"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Controls and Procedures</w:t>
            </w:r>
          </w:p>
        </w:tc>
        <w:tc>
          <w:tcPr>
            <w:tcW w:w="0" w:type="auto"/>
            <w:shd w:val="clear" w:color="auto" w:fill="auto"/>
            <w:tcMar>
              <w:top w:w="40" w:type="dxa"/>
              <w:left w:w="40" w:type="dxa"/>
              <w:bottom w:w="40" w:type="dxa"/>
              <w:right w:w="40" w:type="dxa"/>
            </w:tcMar>
            <w:vAlign w:val="bottom"/>
          </w:tcPr>
          <w:p w14:paraId="3750D69F" w14:textId="77777777" w:rsidR="002541AD" w:rsidRDefault="00901AA6">
            <w:pPr>
              <w:jc w:val="center"/>
              <w:textAlignment w:val="bottom"/>
              <w:rPr>
                <w:rFonts w:ascii="Times New Roman" w:hAnsi="Times New Roman"/>
                <w:sz w:val="18"/>
                <w:szCs w:val="18"/>
              </w:rPr>
            </w:pPr>
            <w:hyperlink r:id="rId24" w:anchor="s7EC47362CA0E55D5AC578E423DA10D07" w:history="1">
              <w:r>
                <w:rPr>
                  <w:rStyle w:val="a5"/>
                  <w:rFonts w:ascii="Arial" w:eastAsia="宋体" w:hAnsi="Arial" w:cs="Arial"/>
                  <w:sz w:val="18"/>
                  <w:szCs w:val="18"/>
                </w:rPr>
                <w:t>43</w:t>
              </w:r>
            </w:hyperlink>
          </w:p>
        </w:tc>
      </w:tr>
      <w:tr w:rsidR="002541AD" w14:paraId="3750D6A4" w14:textId="77777777">
        <w:tc>
          <w:tcPr>
            <w:tcW w:w="0" w:type="auto"/>
            <w:shd w:val="clear" w:color="auto" w:fill="auto"/>
            <w:tcMar>
              <w:top w:w="40" w:type="dxa"/>
              <w:left w:w="40" w:type="dxa"/>
              <w:bottom w:w="40" w:type="dxa"/>
              <w:right w:w="40" w:type="dxa"/>
            </w:tcMar>
            <w:vAlign w:val="bottom"/>
          </w:tcPr>
          <w:p w14:paraId="3750D6A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D6A2"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Issuer Purchases of Equity Securities</w:t>
            </w:r>
          </w:p>
        </w:tc>
        <w:tc>
          <w:tcPr>
            <w:tcW w:w="0" w:type="auto"/>
            <w:shd w:val="clear" w:color="auto" w:fill="auto"/>
            <w:tcMar>
              <w:top w:w="40" w:type="dxa"/>
              <w:left w:w="40" w:type="dxa"/>
              <w:bottom w:w="40" w:type="dxa"/>
              <w:right w:w="40" w:type="dxa"/>
            </w:tcMar>
            <w:vAlign w:val="bottom"/>
          </w:tcPr>
          <w:p w14:paraId="3750D6A3" w14:textId="77777777" w:rsidR="002541AD" w:rsidRDefault="00901AA6">
            <w:pPr>
              <w:jc w:val="center"/>
              <w:textAlignment w:val="bottom"/>
              <w:rPr>
                <w:rFonts w:ascii="Times New Roman" w:hAnsi="Times New Roman"/>
                <w:sz w:val="18"/>
                <w:szCs w:val="18"/>
              </w:rPr>
            </w:pPr>
            <w:hyperlink r:id="rId25" w:anchor="s80263084DF1E5C2299ABB7421BA12B25" w:history="1">
              <w:r>
                <w:rPr>
                  <w:rStyle w:val="a5"/>
                  <w:rFonts w:ascii="Arial" w:eastAsia="宋体" w:hAnsi="Arial" w:cs="Arial"/>
                  <w:sz w:val="18"/>
                  <w:szCs w:val="18"/>
                </w:rPr>
                <w:t>43</w:t>
              </w:r>
            </w:hyperlink>
          </w:p>
        </w:tc>
      </w:tr>
      <w:tr w:rsidR="002541AD" w14:paraId="3750D6A8" w14:textId="77777777">
        <w:tc>
          <w:tcPr>
            <w:tcW w:w="0" w:type="auto"/>
            <w:shd w:val="clear" w:color="auto" w:fill="auto"/>
            <w:tcMar>
              <w:top w:w="40" w:type="dxa"/>
              <w:left w:w="40" w:type="dxa"/>
              <w:bottom w:w="40" w:type="dxa"/>
              <w:right w:w="40" w:type="dxa"/>
            </w:tcMar>
            <w:vAlign w:val="bottom"/>
          </w:tcPr>
          <w:p w14:paraId="3750D6A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D6A6"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Exhibits</w:t>
            </w:r>
          </w:p>
        </w:tc>
        <w:tc>
          <w:tcPr>
            <w:tcW w:w="0" w:type="auto"/>
            <w:shd w:val="clear" w:color="auto" w:fill="auto"/>
            <w:tcMar>
              <w:top w:w="40" w:type="dxa"/>
              <w:left w:w="40" w:type="dxa"/>
              <w:bottom w:w="40" w:type="dxa"/>
              <w:right w:w="40" w:type="dxa"/>
            </w:tcMar>
            <w:vAlign w:val="bottom"/>
          </w:tcPr>
          <w:p w14:paraId="3750D6A7" w14:textId="77777777" w:rsidR="002541AD" w:rsidRDefault="00901AA6">
            <w:pPr>
              <w:jc w:val="center"/>
              <w:textAlignment w:val="bottom"/>
              <w:rPr>
                <w:rFonts w:ascii="Times New Roman" w:hAnsi="Times New Roman"/>
                <w:sz w:val="18"/>
                <w:szCs w:val="18"/>
              </w:rPr>
            </w:pPr>
            <w:hyperlink r:id="rId26" w:anchor="s13729CF818475C44B3A3C9399F4EED64" w:history="1">
              <w:r>
                <w:rPr>
                  <w:rStyle w:val="a5"/>
                  <w:rFonts w:ascii="Arial" w:eastAsia="宋体" w:hAnsi="Arial" w:cs="Arial"/>
                  <w:sz w:val="18"/>
                  <w:szCs w:val="18"/>
                </w:rPr>
                <w:t>44</w:t>
              </w:r>
            </w:hyperlink>
          </w:p>
        </w:tc>
      </w:tr>
      <w:tr w:rsidR="002541AD" w14:paraId="3750D6AC" w14:textId="77777777">
        <w:tc>
          <w:tcPr>
            <w:tcW w:w="0" w:type="auto"/>
            <w:shd w:val="clear" w:color="auto" w:fill="auto"/>
            <w:tcMar>
              <w:top w:w="40" w:type="dxa"/>
              <w:left w:w="40" w:type="dxa"/>
              <w:bottom w:w="40" w:type="dxa"/>
              <w:right w:w="40" w:type="dxa"/>
            </w:tcMar>
            <w:vAlign w:val="bottom"/>
          </w:tcPr>
          <w:p w14:paraId="3750D6A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D6AA"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Form 10-Q Cross-Reference Index</w:t>
            </w:r>
          </w:p>
        </w:tc>
        <w:tc>
          <w:tcPr>
            <w:tcW w:w="0" w:type="auto"/>
            <w:shd w:val="clear" w:color="auto" w:fill="auto"/>
            <w:tcMar>
              <w:top w:w="40" w:type="dxa"/>
              <w:left w:w="40" w:type="dxa"/>
              <w:bottom w:w="40" w:type="dxa"/>
              <w:right w:w="40" w:type="dxa"/>
            </w:tcMar>
            <w:vAlign w:val="bottom"/>
          </w:tcPr>
          <w:p w14:paraId="3750D6AB" w14:textId="77777777" w:rsidR="002541AD" w:rsidRDefault="00901AA6">
            <w:pPr>
              <w:jc w:val="center"/>
              <w:textAlignment w:val="bottom"/>
              <w:rPr>
                <w:rFonts w:ascii="Times New Roman" w:hAnsi="Times New Roman"/>
                <w:sz w:val="18"/>
                <w:szCs w:val="18"/>
              </w:rPr>
            </w:pPr>
            <w:hyperlink r:id="rId27" w:anchor="s2FE8C2F18B3E57D185A40E71373A1817" w:history="1">
              <w:r>
                <w:rPr>
                  <w:rStyle w:val="a5"/>
                  <w:rFonts w:ascii="Arial" w:eastAsia="宋体" w:hAnsi="Arial" w:cs="Arial"/>
                  <w:sz w:val="18"/>
                  <w:szCs w:val="18"/>
                </w:rPr>
                <w:t>45</w:t>
              </w:r>
            </w:hyperlink>
          </w:p>
        </w:tc>
      </w:tr>
    </w:tbl>
    <w:p w14:paraId="3750D6AD" w14:textId="77777777" w:rsidR="002541AD" w:rsidRDefault="002541AD">
      <w:pPr>
        <w:spacing w:line="288" w:lineRule="auto"/>
        <w:jc w:val="center"/>
        <w:rPr>
          <w:rFonts w:ascii="Times New Roman" w:hAnsi="Times New Roman"/>
          <w:sz w:val="18"/>
          <w:szCs w:val="18"/>
        </w:rPr>
      </w:pPr>
    </w:p>
    <w:p w14:paraId="3750D6AE" w14:textId="77777777" w:rsidR="002541AD" w:rsidRDefault="002541AD">
      <w:pPr>
        <w:spacing w:line="288" w:lineRule="auto"/>
        <w:jc w:val="center"/>
        <w:rPr>
          <w:rFonts w:ascii="Times New Roman" w:hAnsi="Times New Roman"/>
          <w:sz w:val="18"/>
          <w:szCs w:val="18"/>
        </w:rPr>
      </w:pPr>
    </w:p>
    <w:p w14:paraId="3750D6AF" w14:textId="77777777" w:rsidR="002541AD" w:rsidRDefault="002541AD">
      <w:pPr>
        <w:spacing w:line="288" w:lineRule="auto"/>
        <w:jc w:val="center"/>
        <w:rPr>
          <w:rFonts w:ascii="Times New Roman" w:hAnsi="Times New Roman"/>
          <w:sz w:val="18"/>
          <w:szCs w:val="18"/>
        </w:rPr>
      </w:pPr>
    </w:p>
    <w:p w14:paraId="3750D6B0" w14:textId="77777777" w:rsidR="002541AD" w:rsidRDefault="002541AD">
      <w:pPr>
        <w:spacing w:line="288" w:lineRule="auto"/>
        <w:jc w:val="center"/>
        <w:rPr>
          <w:rFonts w:ascii="Times New Roman" w:hAnsi="Times New Roman"/>
          <w:sz w:val="18"/>
          <w:szCs w:val="18"/>
        </w:rPr>
      </w:pPr>
    </w:p>
    <w:p w14:paraId="3750D6B1" w14:textId="77777777" w:rsidR="002541AD" w:rsidRDefault="002541AD">
      <w:pPr>
        <w:spacing w:line="288" w:lineRule="auto"/>
        <w:jc w:val="center"/>
        <w:rPr>
          <w:rFonts w:ascii="Times New Roman" w:hAnsi="Times New Roman"/>
          <w:sz w:val="18"/>
          <w:szCs w:val="18"/>
        </w:rPr>
      </w:pPr>
    </w:p>
    <w:p w14:paraId="3750D6B2" w14:textId="77777777" w:rsidR="002541AD" w:rsidRDefault="002541AD">
      <w:pPr>
        <w:spacing w:line="288" w:lineRule="auto"/>
        <w:rPr>
          <w:rFonts w:ascii="Times New Roman" w:hAnsi="Times New Roman"/>
          <w:sz w:val="18"/>
          <w:szCs w:val="18"/>
        </w:rPr>
      </w:pPr>
    </w:p>
    <w:tbl>
      <w:tblPr>
        <w:tblW w:w="0" w:type="auto"/>
        <w:tblCellSpacing w:w="0" w:type="dxa"/>
        <w:tblCellMar>
          <w:left w:w="0" w:type="dxa"/>
          <w:bottom w:w="240" w:type="dxa"/>
          <w:right w:w="0" w:type="dxa"/>
        </w:tblCellMar>
        <w:tblLook w:val="04A0" w:firstRow="1" w:lastRow="0" w:firstColumn="1" w:lastColumn="0" w:noHBand="0" w:noVBand="1"/>
      </w:tblPr>
      <w:tblGrid>
        <w:gridCol w:w="240"/>
        <w:gridCol w:w="8066"/>
      </w:tblGrid>
      <w:tr w:rsidR="002541AD" w14:paraId="3750D6B5" w14:textId="77777777">
        <w:trPr>
          <w:tblCellSpacing w:w="0" w:type="dxa"/>
        </w:trPr>
        <w:tc>
          <w:tcPr>
            <w:tcW w:w="240" w:type="dxa"/>
            <w:shd w:val="clear" w:color="auto" w:fill="auto"/>
            <w:vAlign w:val="center"/>
          </w:tcPr>
          <w:p w14:paraId="3750D6B3" w14:textId="77777777" w:rsidR="002541AD" w:rsidRDefault="002541AD">
            <w:pPr>
              <w:rPr>
                <w:rFonts w:ascii="Times New Roman" w:hAnsi="Times New Roman"/>
                <w:sz w:val="20"/>
                <w:szCs w:val="20"/>
              </w:rPr>
            </w:pPr>
          </w:p>
        </w:tc>
        <w:tc>
          <w:tcPr>
            <w:tcW w:w="0" w:type="auto"/>
            <w:shd w:val="clear" w:color="auto" w:fill="auto"/>
            <w:vAlign w:val="center"/>
          </w:tcPr>
          <w:p w14:paraId="3750D6B4" w14:textId="77777777" w:rsidR="002541AD" w:rsidRDefault="002541AD">
            <w:pPr>
              <w:rPr>
                <w:rFonts w:ascii="Times New Roman" w:hAnsi="Times New Roman"/>
                <w:sz w:val="20"/>
                <w:szCs w:val="20"/>
              </w:rPr>
            </w:pPr>
          </w:p>
        </w:tc>
      </w:tr>
      <w:tr w:rsidR="002541AD" w14:paraId="3750D6B8" w14:textId="77777777">
        <w:trPr>
          <w:tblCellSpacing w:w="0" w:type="dxa"/>
        </w:trPr>
        <w:tc>
          <w:tcPr>
            <w:tcW w:w="0" w:type="auto"/>
            <w:shd w:val="clear" w:color="auto" w:fill="auto"/>
          </w:tcPr>
          <w:p w14:paraId="3750D6B6"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0"/>
                <w:szCs w:val="10"/>
              </w:rPr>
              <w:t>1</w:t>
            </w:r>
            <w:r>
              <w:rPr>
                <w:rFonts w:ascii="Arial" w:eastAsia="宋体" w:hAnsi="Arial" w:cs="Arial"/>
                <w:i/>
                <w:iCs/>
                <w:color w:val="333333"/>
                <w:sz w:val="16"/>
                <w:szCs w:val="16"/>
              </w:rPr>
              <w:t> </w:t>
            </w:r>
          </w:p>
        </w:tc>
        <w:tc>
          <w:tcPr>
            <w:tcW w:w="0" w:type="auto"/>
            <w:shd w:val="clear" w:color="auto" w:fill="auto"/>
          </w:tcPr>
          <w:p w14:paraId="3750D6B7"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Intel's definition is included in "Key Terms" within the </w:t>
            </w:r>
            <w:r>
              <w:rPr>
                <w:rFonts w:ascii="Arial" w:eastAsia="宋体" w:hAnsi="Arial" w:cs="Arial"/>
                <w:i/>
                <w:iCs/>
                <w:color w:val="333333"/>
                <w:sz w:val="16"/>
                <w:szCs w:val="16"/>
              </w:rPr>
              <w:t>Consolidated Condensed Financial Statements and Supplemental Details</w:t>
            </w:r>
            <w:r>
              <w:rPr>
                <w:rFonts w:ascii="Arial" w:eastAsia="宋体" w:hAnsi="Arial" w:cs="Arial"/>
                <w:i/>
                <w:iCs/>
                <w:color w:val="333333"/>
                <w:sz w:val="16"/>
                <w:szCs w:val="16"/>
              </w:rPr>
              <w:t>.</w:t>
            </w:r>
          </w:p>
        </w:tc>
      </w:tr>
    </w:tbl>
    <w:p w14:paraId="3750D6B9" w14:textId="77777777" w:rsidR="002541AD" w:rsidRDefault="002541AD">
      <w:pPr>
        <w:rPr>
          <w:rFonts w:ascii="Times New Roman" w:hAnsi="Times New Roman"/>
          <w:sz w:val="20"/>
          <w:szCs w:val="20"/>
        </w:rPr>
      </w:pPr>
    </w:p>
    <w:p w14:paraId="3750D6BA" w14:textId="77777777" w:rsidR="002541AD" w:rsidRDefault="00901AA6">
      <w:r>
        <w:rPr>
          <w:rFonts w:ascii="Times New Roman" w:hAnsi="Times New Roman"/>
          <w:sz w:val="20"/>
          <w:szCs w:val="20"/>
        </w:rPr>
        <w:pict w14:anchorId="3750F838">
          <v:rect id="_x0000_i1026" style="width:415.3pt;height:1.5pt" o:hralign="center" o:hrstd="t" o:hr="t" fillcolor="#a0a0a0" stroked="f"/>
        </w:pict>
      </w:r>
    </w:p>
    <w:p w14:paraId="3750D6BB" w14:textId="77777777" w:rsidR="002541AD" w:rsidRDefault="00901AA6">
      <w:pPr>
        <w:spacing w:line="288" w:lineRule="auto"/>
        <w:jc w:val="right"/>
        <w:rPr>
          <w:rFonts w:ascii="Times New Roman" w:hAnsi="Times New Roman"/>
          <w:sz w:val="16"/>
          <w:szCs w:val="16"/>
        </w:rPr>
      </w:pPr>
      <w:hyperlink r:id="rId28" w:anchor="s2CABEAF4222C52B4A34547BF538A8C27" w:history="1">
        <w:r>
          <w:rPr>
            <w:rStyle w:val="a5"/>
            <w:rFonts w:ascii="Arial" w:eastAsia="宋体" w:hAnsi="Arial" w:cs="Arial"/>
            <w:b/>
            <w:bCs/>
            <w:sz w:val="16"/>
            <w:szCs w:val="16"/>
          </w:rPr>
          <w:t>Table of Contents</w:t>
        </w:r>
      </w:hyperlink>
    </w:p>
    <w:p w14:paraId="3750D6BC" w14:textId="77777777" w:rsidR="002541AD" w:rsidRDefault="002541AD">
      <w:pPr>
        <w:spacing w:line="288" w:lineRule="auto"/>
        <w:jc w:val="right"/>
        <w:rPr>
          <w:rFonts w:ascii="Times New Roman" w:hAnsi="Times New Roman"/>
          <w:sz w:val="18"/>
          <w:szCs w:val="18"/>
        </w:rPr>
      </w:pPr>
    </w:p>
    <w:p w14:paraId="3750D6BD" w14:textId="77777777" w:rsidR="002541AD" w:rsidRDefault="002541AD">
      <w:pPr>
        <w:rPr>
          <w:rFonts w:ascii="Times New Roman" w:hAnsi="Times New Roman"/>
          <w:sz w:val="20"/>
          <w:szCs w:val="20"/>
        </w:rPr>
      </w:pPr>
    </w:p>
    <w:p w14:paraId="3750D6BE"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FORWARD-LOOKING STATEMENTS</w:t>
      </w:r>
    </w:p>
    <w:p w14:paraId="3750D6BF"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This Quarterly Report on Form 10-Q </w:t>
      </w:r>
      <w:r>
        <w:rPr>
          <w:rFonts w:ascii="Arial" w:eastAsia="宋体" w:hAnsi="Arial" w:cs="Arial"/>
          <w:color w:val="333333"/>
          <w:sz w:val="18"/>
          <w:szCs w:val="18"/>
        </w:rPr>
        <w:t>contains forward-looking statements that involve a number of risks and uncertainties. Words such as "anticipate," "expect," "intend," "pledge," "committed," "plans," "opportunities," "future," "believes," "target," "on-track," "estimates," "continue," "lik</w:t>
      </w:r>
      <w:r>
        <w:rPr>
          <w:rFonts w:ascii="Arial" w:eastAsia="宋体" w:hAnsi="Arial" w:cs="Arial"/>
          <w:color w:val="333333"/>
          <w:sz w:val="18"/>
          <w:szCs w:val="18"/>
        </w:rPr>
        <w:t>ely," "may," "will," "would," "should," "could," and variations of such words and similar expressions are intended to identify such forward-looking statements. In addition, any statements that refer to future responses to and effects of COVID-19; projectio</w:t>
      </w:r>
      <w:r>
        <w:rPr>
          <w:rFonts w:ascii="Arial" w:eastAsia="宋体" w:hAnsi="Arial" w:cs="Arial"/>
          <w:color w:val="333333"/>
          <w:sz w:val="18"/>
          <w:szCs w:val="18"/>
        </w:rPr>
        <w:t>ns of our future financial performance and demand; our anticipated growth and trends in our businesses or operations; projected growth and trends in markets relevant to our businesses; future products and technology and the expected availability and benefi</w:t>
      </w:r>
      <w:r>
        <w:rPr>
          <w:rFonts w:ascii="Arial" w:eastAsia="宋体" w:hAnsi="Arial" w:cs="Arial"/>
          <w:color w:val="333333"/>
          <w:sz w:val="18"/>
          <w:szCs w:val="18"/>
        </w:rPr>
        <w:t>ts of such products and technology; expectations regarding construction projects; expected timing and impact of acquisitions, divestitures, and other significant transactions; expected completion of restructuring activities; availability, uses, sufficiency</w:t>
      </w:r>
      <w:r>
        <w:rPr>
          <w:rFonts w:ascii="Arial" w:eastAsia="宋体" w:hAnsi="Arial" w:cs="Arial"/>
          <w:color w:val="333333"/>
          <w:sz w:val="18"/>
          <w:szCs w:val="18"/>
        </w:rPr>
        <w:t xml:space="preserve">, and cost of capital and capital resources, including expected returns to stockholders such as dividends and share repurchases; accounting estimates and judgments regarding reported matters, events and contingencies and the actual results thereof; future </w:t>
      </w:r>
      <w:r>
        <w:rPr>
          <w:rFonts w:ascii="Arial" w:eastAsia="宋体" w:hAnsi="Arial" w:cs="Arial"/>
          <w:color w:val="333333"/>
          <w:sz w:val="18"/>
          <w:szCs w:val="18"/>
        </w:rPr>
        <w:t xml:space="preserve">production capacity and product supply, uncertain events or assumptions, and other characterizations of future events or circumstances are forward-looking statements. Such statements are based on management's expectations as of the date of this filing and </w:t>
      </w:r>
      <w:r>
        <w:rPr>
          <w:rFonts w:ascii="Arial" w:eastAsia="宋体" w:hAnsi="Arial" w:cs="Arial"/>
          <w:color w:val="333333"/>
          <w:sz w:val="18"/>
          <w:szCs w:val="18"/>
        </w:rPr>
        <w:t>involve many risks and uncertainties that could cause our actual results to differ materially from those expressed or implied in our forward-looking statements. Such risks and uncertainties include those described throughout this report and our Annual Repo</w:t>
      </w:r>
      <w:r>
        <w:rPr>
          <w:rFonts w:ascii="Arial" w:eastAsia="宋体" w:hAnsi="Arial" w:cs="Arial"/>
          <w:color w:val="333333"/>
          <w:sz w:val="18"/>
          <w:szCs w:val="18"/>
        </w:rPr>
        <w:t xml:space="preserve">rt on Form 10-K for the year ended December 28, 2019, particularly the "Risk Factors" sections of such reports. Given these risks and uncertainties, readers are cautioned not to place undue reliance on such forward-looking statements. Readers are urged to </w:t>
      </w:r>
      <w:r>
        <w:rPr>
          <w:rFonts w:ascii="Arial" w:eastAsia="宋体" w:hAnsi="Arial" w:cs="Arial"/>
          <w:color w:val="333333"/>
          <w:sz w:val="18"/>
          <w:szCs w:val="18"/>
        </w:rPr>
        <w:t>carefully review and consider the various disclosures made in this Form 10-Q and in other documents we file from time to time with the SEC that disclose risks and uncertainties that may affect our business. Unless specifically indicated otherwise, the forw</w:t>
      </w:r>
      <w:r>
        <w:rPr>
          <w:rFonts w:ascii="Arial" w:eastAsia="宋体" w:hAnsi="Arial" w:cs="Arial"/>
          <w:color w:val="333333"/>
          <w:sz w:val="18"/>
          <w:szCs w:val="18"/>
        </w:rPr>
        <w:t xml:space="preserve">ard-looking statements in this Form 10-Q do not reflect the potential impact of any divestitures, mergers, acquisitions, or other business combinations that have not been completed as of the date of this filing. In addition, the forward-looking statements </w:t>
      </w:r>
      <w:r>
        <w:rPr>
          <w:rFonts w:ascii="Arial" w:eastAsia="宋体" w:hAnsi="Arial" w:cs="Arial"/>
          <w:color w:val="333333"/>
          <w:sz w:val="18"/>
          <w:szCs w:val="18"/>
        </w:rPr>
        <w:t>in this Form 10-Q are made as of the date of this filing, including expectations based on third-party information and projections that management believes to be reputable, and Intel does not undertake, and expressly disclaims any duty, to update such state</w:t>
      </w:r>
      <w:r>
        <w:rPr>
          <w:rFonts w:ascii="Arial" w:eastAsia="宋体" w:hAnsi="Arial" w:cs="Arial"/>
          <w:color w:val="333333"/>
          <w:sz w:val="18"/>
          <w:szCs w:val="18"/>
        </w:rPr>
        <w:t>ments, whether as a result of new information, new developments, or otherwise, except to the extent that disclosure may be required by law.</w:t>
      </w:r>
    </w:p>
    <w:p w14:paraId="3750D6C0" w14:textId="77777777" w:rsidR="002541AD" w:rsidRDefault="002541AD">
      <w:pPr>
        <w:spacing w:line="288" w:lineRule="auto"/>
        <w:rPr>
          <w:rFonts w:ascii="Times New Roman" w:hAnsi="Times New Roman"/>
          <w:sz w:val="18"/>
          <w:szCs w:val="18"/>
        </w:rPr>
      </w:pPr>
    </w:p>
    <w:p w14:paraId="3750D6C1" w14:textId="77777777" w:rsidR="002541AD" w:rsidRDefault="002541AD">
      <w:pPr>
        <w:spacing w:line="288" w:lineRule="auto"/>
        <w:rPr>
          <w:rFonts w:ascii="Times New Roman" w:hAnsi="Times New Roman"/>
          <w:sz w:val="18"/>
          <w:szCs w:val="18"/>
        </w:rPr>
      </w:pPr>
    </w:p>
    <w:p w14:paraId="3750D6C2" w14:textId="77777777" w:rsidR="002541AD" w:rsidRDefault="002541AD">
      <w:pPr>
        <w:spacing w:line="288" w:lineRule="auto"/>
        <w:rPr>
          <w:rFonts w:ascii="Times New Roman" w:hAnsi="Times New Roman"/>
          <w:sz w:val="18"/>
          <w:szCs w:val="18"/>
        </w:rPr>
      </w:pPr>
    </w:p>
    <w:p w14:paraId="3750D6C3" w14:textId="77777777" w:rsidR="002541AD" w:rsidRDefault="002541AD">
      <w:pPr>
        <w:spacing w:line="288" w:lineRule="auto"/>
        <w:rPr>
          <w:rFonts w:ascii="Times New Roman" w:hAnsi="Times New Roman"/>
          <w:sz w:val="18"/>
          <w:szCs w:val="18"/>
        </w:rPr>
      </w:pPr>
    </w:p>
    <w:p w14:paraId="3750D6C4" w14:textId="77777777" w:rsidR="002541AD" w:rsidRDefault="002541AD">
      <w:pPr>
        <w:spacing w:line="288" w:lineRule="auto"/>
        <w:rPr>
          <w:rFonts w:ascii="Times New Roman" w:hAnsi="Times New Roman"/>
          <w:sz w:val="18"/>
          <w:szCs w:val="18"/>
        </w:rPr>
      </w:pPr>
    </w:p>
    <w:p w14:paraId="3750D6C5" w14:textId="77777777" w:rsidR="002541AD" w:rsidRDefault="002541AD">
      <w:pPr>
        <w:spacing w:line="288" w:lineRule="auto"/>
        <w:rPr>
          <w:rFonts w:ascii="Times New Roman" w:hAnsi="Times New Roman"/>
          <w:sz w:val="18"/>
          <w:szCs w:val="18"/>
        </w:rPr>
      </w:pPr>
    </w:p>
    <w:p w14:paraId="3750D6C6" w14:textId="77777777" w:rsidR="002541AD" w:rsidRDefault="002541AD">
      <w:pPr>
        <w:spacing w:line="288" w:lineRule="auto"/>
        <w:rPr>
          <w:rFonts w:ascii="Times New Roman" w:hAnsi="Times New Roman"/>
          <w:sz w:val="18"/>
          <w:szCs w:val="18"/>
        </w:rPr>
      </w:pPr>
    </w:p>
    <w:p w14:paraId="3750D6C7" w14:textId="77777777" w:rsidR="002541AD" w:rsidRDefault="002541AD">
      <w:pPr>
        <w:spacing w:line="288" w:lineRule="auto"/>
        <w:rPr>
          <w:rFonts w:ascii="Times New Roman" w:hAnsi="Times New Roman"/>
          <w:sz w:val="18"/>
          <w:szCs w:val="18"/>
        </w:rPr>
      </w:pPr>
    </w:p>
    <w:p w14:paraId="3750D6C8" w14:textId="77777777" w:rsidR="002541AD" w:rsidRDefault="002541AD">
      <w:pPr>
        <w:spacing w:line="288" w:lineRule="auto"/>
        <w:rPr>
          <w:rFonts w:ascii="Times New Roman" w:hAnsi="Times New Roman"/>
          <w:sz w:val="18"/>
          <w:szCs w:val="18"/>
        </w:rPr>
      </w:pPr>
    </w:p>
    <w:p w14:paraId="3750D6C9" w14:textId="77777777" w:rsidR="002541AD" w:rsidRDefault="002541AD">
      <w:pPr>
        <w:spacing w:line="288" w:lineRule="auto"/>
        <w:rPr>
          <w:rFonts w:ascii="Times New Roman" w:hAnsi="Times New Roman"/>
          <w:sz w:val="18"/>
          <w:szCs w:val="18"/>
        </w:rPr>
      </w:pPr>
    </w:p>
    <w:p w14:paraId="3750D6CA" w14:textId="77777777" w:rsidR="002541AD" w:rsidRDefault="002541AD">
      <w:pPr>
        <w:spacing w:line="288" w:lineRule="auto"/>
        <w:rPr>
          <w:rFonts w:ascii="Times New Roman" w:hAnsi="Times New Roman"/>
          <w:sz w:val="18"/>
          <w:szCs w:val="18"/>
        </w:rPr>
      </w:pPr>
    </w:p>
    <w:p w14:paraId="3750D6CB" w14:textId="77777777" w:rsidR="002541AD" w:rsidRDefault="002541AD">
      <w:pPr>
        <w:spacing w:line="288" w:lineRule="auto"/>
        <w:rPr>
          <w:rFonts w:ascii="Times New Roman" w:hAnsi="Times New Roman"/>
          <w:sz w:val="18"/>
          <w:szCs w:val="18"/>
        </w:rPr>
      </w:pPr>
    </w:p>
    <w:p w14:paraId="3750D6CC" w14:textId="77777777" w:rsidR="002541AD" w:rsidRDefault="002541AD">
      <w:pPr>
        <w:spacing w:line="288" w:lineRule="auto"/>
        <w:rPr>
          <w:rFonts w:ascii="Times New Roman" w:hAnsi="Times New Roman"/>
          <w:sz w:val="18"/>
          <w:szCs w:val="18"/>
        </w:rPr>
      </w:pPr>
    </w:p>
    <w:p w14:paraId="3750D6CD" w14:textId="77777777" w:rsidR="002541AD" w:rsidRDefault="002541AD">
      <w:pPr>
        <w:spacing w:line="288" w:lineRule="auto"/>
        <w:rPr>
          <w:rFonts w:ascii="Times New Roman" w:hAnsi="Times New Roman"/>
          <w:sz w:val="18"/>
          <w:szCs w:val="18"/>
        </w:rPr>
      </w:pPr>
    </w:p>
    <w:p w14:paraId="3750D6CE" w14:textId="77777777" w:rsidR="002541AD" w:rsidRDefault="002541AD">
      <w:pPr>
        <w:spacing w:line="288" w:lineRule="auto"/>
        <w:rPr>
          <w:rFonts w:ascii="Times New Roman" w:hAnsi="Times New Roman"/>
          <w:sz w:val="18"/>
          <w:szCs w:val="18"/>
        </w:rPr>
      </w:pPr>
    </w:p>
    <w:p w14:paraId="3750D6CF" w14:textId="77777777" w:rsidR="002541AD" w:rsidRDefault="002541AD">
      <w:pPr>
        <w:spacing w:line="288" w:lineRule="auto"/>
        <w:rPr>
          <w:rFonts w:ascii="Times New Roman" w:hAnsi="Times New Roman"/>
          <w:sz w:val="18"/>
          <w:szCs w:val="18"/>
        </w:rPr>
      </w:pPr>
    </w:p>
    <w:p w14:paraId="3750D6D0" w14:textId="77777777" w:rsidR="002541AD" w:rsidRDefault="002541AD">
      <w:pPr>
        <w:spacing w:line="288" w:lineRule="auto"/>
        <w:rPr>
          <w:rFonts w:ascii="Times New Roman" w:hAnsi="Times New Roman"/>
          <w:sz w:val="18"/>
          <w:szCs w:val="18"/>
        </w:rPr>
      </w:pPr>
    </w:p>
    <w:p w14:paraId="3750D6D1" w14:textId="77777777" w:rsidR="002541AD" w:rsidRDefault="002541AD">
      <w:pPr>
        <w:spacing w:line="288" w:lineRule="auto"/>
        <w:rPr>
          <w:rFonts w:ascii="Times New Roman" w:hAnsi="Times New Roman"/>
          <w:sz w:val="18"/>
          <w:szCs w:val="18"/>
        </w:rPr>
      </w:pPr>
    </w:p>
    <w:p w14:paraId="3750D6D2" w14:textId="77777777" w:rsidR="002541AD" w:rsidRDefault="002541AD">
      <w:pPr>
        <w:spacing w:line="288" w:lineRule="auto"/>
        <w:rPr>
          <w:rFonts w:ascii="Times New Roman" w:hAnsi="Times New Roman"/>
          <w:sz w:val="18"/>
          <w:szCs w:val="18"/>
        </w:rPr>
      </w:pPr>
    </w:p>
    <w:p w14:paraId="3750D6D3" w14:textId="77777777" w:rsidR="002541AD" w:rsidRDefault="002541AD">
      <w:pPr>
        <w:spacing w:line="288" w:lineRule="auto"/>
        <w:rPr>
          <w:rFonts w:ascii="Times New Roman" w:hAnsi="Times New Roman"/>
          <w:sz w:val="18"/>
          <w:szCs w:val="18"/>
        </w:rPr>
      </w:pPr>
    </w:p>
    <w:p w14:paraId="3750D6D4" w14:textId="77777777" w:rsidR="002541AD" w:rsidRDefault="00901AA6">
      <w:pPr>
        <w:spacing w:line="288" w:lineRule="auto"/>
        <w:rPr>
          <w:rFonts w:ascii="Times New Roman" w:hAnsi="Times New Roman"/>
          <w:sz w:val="16"/>
          <w:szCs w:val="16"/>
        </w:rPr>
      </w:pPr>
      <w:r>
        <w:rPr>
          <w:rFonts w:ascii="Arial" w:eastAsia="宋体" w:hAnsi="Arial" w:cs="Arial"/>
          <w:i/>
          <w:iCs/>
          <w:color w:val="333333"/>
          <w:sz w:val="16"/>
          <w:szCs w:val="16"/>
        </w:rPr>
        <w:t xml:space="preserve">Intel, the Intel logo, 3D XPoint, Intel Atom, Intel Core, Intel Optane, and Xeon, are trademarks of Intel Corporation or its subsidiaries in the U.S. and/or other countries. </w:t>
      </w:r>
    </w:p>
    <w:p w14:paraId="3750D6D5" w14:textId="77777777" w:rsidR="002541AD" w:rsidRDefault="00901AA6">
      <w:pPr>
        <w:spacing w:line="288" w:lineRule="auto"/>
        <w:rPr>
          <w:rFonts w:ascii="Times New Roman" w:hAnsi="Times New Roman"/>
          <w:sz w:val="16"/>
          <w:szCs w:val="16"/>
        </w:rPr>
      </w:pPr>
      <w:r>
        <w:rPr>
          <w:rFonts w:ascii="Arial" w:eastAsia="宋体" w:hAnsi="Arial" w:cs="Arial"/>
          <w:i/>
          <w:iCs/>
          <w:color w:val="333333"/>
          <w:sz w:val="16"/>
          <w:szCs w:val="16"/>
        </w:rPr>
        <w:t>* Other names and brands may be claimed as the property of others.</w:t>
      </w:r>
    </w:p>
    <w:p w14:paraId="3750D6D6"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5"/>
        <w:gridCol w:w="2575"/>
        <w:gridCol w:w="3156"/>
      </w:tblGrid>
      <w:tr w:rsidR="002541AD" w14:paraId="3750D6D8" w14:textId="77777777">
        <w:tc>
          <w:tcPr>
            <w:tcW w:w="0" w:type="auto"/>
            <w:gridSpan w:val="3"/>
            <w:shd w:val="clear" w:color="auto" w:fill="auto"/>
            <w:vAlign w:val="center"/>
          </w:tcPr>
          <w:p w14:paraId="3750D6D7" w14:textId="77777777" w:rsidR="002541AD" w:rsidRDefault="002541AD">
            <w:pPr>
              <w:rPr>
                <w:rFonts w:ascii="Times New Roman" w:hAnsi="Times New Roman"/>
                <w:sz w:val="20"/>
                <w:szCs w:val="20"/>
              </w:rPr>
            </w:pPr>
          </w:p>
        </w:tc>
      </w:tr>
      <w:tr w:rsidR="002541AD" w14:paraId="3750D6DC" w14:textId="77777777">
        <w:tc>
          <w:tcPr>
            <w:tcW w:w="1550" w:type="pct"/>
            <w:shd w:val="clear" w:color="auto" w:fill="auto"/>
            <w:vAlign w:val="center"/>
          </w:tcPr>
          <w:p w14:paraId="3750D6D9" w14:textId="77777777" w:rsidR="002541AD" w:rsidRDefault="002541AD">
            <w:pPr>
              <w:rPr>
                <w:rFonts w:ascii="Times New Roman" w:hAnsi="Times New Roman"/>
                <w:sz w:val="20"/>
                <w:szCs w:val="20"/>
              </w:rPr>
            </w:pPr>
          </w:p>
        </w:tc>
        <w:tc>
          <w:tcPr>
            <w:tcW w:w="1550" w:type="pct"/>
            <w:shd w:val="clear" w:color="auto" w:fill="auto"/>
            <w:vAlign w:val="center"/>
          </w:tcPr>
          <w:p w14:paraId="3750D6DA" w14:textId="77777777" w:rsidR="002541AD" w:rsidRDefault="002541AD">
            <w:pPr>
              <w:rPr>
                <w:rFonts w:ascii="Times New Roman" w:hAnsi="Times New Roman"/>
                <w:sz w:val="20"/>
                <w:szCs w:val="20"/>
              </w:rPr>
            </w:pPr>
          </w:p>
        </w:tc>
        <w:tc>
          <w:tcPr>
            <w:tcW w:w="1900" w:type="pct"/>
            <w:shd w:val="clear" w:color="auto" w:fill="auto"/>
            <w:vAlign w:val="center"/>
          </w:tcPr>
          <w:p w14:paraId="3750D6DB" w14:textId="77777777" w:rsidR="002541AD" w:rsidRDefault="002541AD">
            <w:pPr>
              <w:rPr>
                <w:rFonts w:ascii="Times New Roman" w:hAnsi="Times New Roman"/>
                <w:sz w:val="20"/>
                <w:szCs w:val="20"/>
              </w:rPr>
            </w:pPr>
          </w:p>
        </w:tc>
      </w:tr>
      <w:tr w:rsidR="002541AD" w14:paraId="3750D6E0"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D6DD"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39" wp14:editId="3750F83A">
                  <wp:extent cx="304800" cy="304800"/>
                  <wp:effectExtent l="0" t="0" r="0" b="0"/>
                  <wp:docPr id="62" name="图片 37"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7"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6D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6DF"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1</w:t>
            </w:r>
          </w:p>
        </w:tc>
      </w:tr>
    </w:tbl>
    <w:p w14:paraId="3750D6E1" w14:textId="77777777" w:rsidR="002541AD" w:rsidRDefault="00901AA6">
      <w:r>
        <w:pict w14:anchorId="3750F83B">
          <v:rect id="_x0000_i1027" style="width:415.3pt;height:1.5pt" o:hralign="center" o:hrstd="t" o:hr="t" fillcolor="#a0a0a0" stroked="f"/>
        </w:pict>
      </w:r>
    </w:p>
    <w:p w14:paraId="3750D6E2" w14:textId="77777777" w:rsidR="002541AD" w:rsidRDefault="00901AA6">
      <w:pPr>
        <w:spacing w:line="288" w:lineRule="auto"/>
        <w:jc w:val="right"/>
        <w:rPr>
          <w:rFonts w:ascii="Times New Roman" w:hAnsi="Times New Roman"/>
          <w:sz w:val="16"/>
          <w:szCs w:val="16"/>
        </w:rPr>
      </w:pPr>
      <w:hyperlink r:id="rId29" w:anchor="s2CABEAF4222C52B4A34547BF538A8C27" w:history="1">
        <w:r>
          <w:rPr>
            <w:rStyle w:val="a5"/>
            <w:rFonts w:ascii="Arial" w:eastAsia="宋体" w:hAnsi="Arial" w:cs="Arial"/>
            <w:b/>
            <w:bCs/>
            <w:sz w:val="16"/>
            <w:szCs w:val="16"/>
          </w:rPr>
          <w:t>Table of Contents</w:t>
        </w:r>
      </w:hyperlink>
    </w:p>
    <w:p w14:paraId="3750D6E3" w14:textId="77777777" w:rsidR="002541AD" w:rsidRDefault="002541AD">
      <w:pPr>
        <w:spacing w:line="288" w:lineRule="auto"/>
        <w:jc w:val="right"/>
        <w:rPr>
          <w:rFonts w:ascii="Times New Roman" w:hAnsi="Times New Roman"/>
          <w:sz w:val="18"/>
          <w:szCs w:val="18"/>
        </w:rPr>
      </w:pPr>
    </w:p>
    <w:p w14:paraId="3750D6E4" w14:textId="77777777" w:rsidR="002541AD" w:rsidRDefault="002541AD">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2541AD" w14:paraId="3750D6E6" w14:textId="77777777">
        <w:trPr>
          <w:jc w:val="center"/>
        </w:trPr>
        <w:tc>
          <w:tcPr>
            <w:tcW w:w="0" w:type="auto"/>
            <w:shd w:val="clear" w:color="auto" w:fill="auto"/>
            <w:vAlign w:val="center"/>
          </w:tcPr>
          <w:p w14:paraId="3750D6E5" w14:textId="77777777" w:rsidR="002541AD" w:rsidRDefault="002541AD">
            <w:pPr>
              <w:rPr>
                <w:rFonts w:ascii="Times New Roman" w:hAnsi="Times New Roman"/>
                <w:sz w:val="20"/>
                <w:szCs w:val="20"/>
              </w:rPr>
            </w:pPr>
          </w:p>
        </w:tc>
      </w:tr>
      <w:tr w:rsidR="002541AD" w14:paraId="3750D6E8" w14:textId="77777777">
        <w:trPr>
          <w:jc w:val="center"/>
        </w:trPr>
        <w:tc>
          <w:tcPr>
            <w:tcW w:w="5000" w:type="pct"/>
            <w:shd w:val="clear" w:color="auto" w:fill="auto"/>
            <w:vAlign w:val="center"/>
          </w:tcPr>
          <w:p w14:paraId="3750D6E7" w14:textId="77777777" w:rsidR="002541AD" w:rsidRDefault="002541AD">
            <w:pPr>
              <w:rPr>
                <w:rFonts w:ascii="Times New Roman" w:hAnsi="Times New Roman"/>
                <w:sz w:val="20"/>
                <w:szCs w:val="20"/>
              </w:rPr>
            </w:pPr>
          </w:p>
        </w:tc>
      </w:tr>
      <w:tr w:rsidR="002541AD" w14:paraId="3750D6EA" w14:textId="77777777">
        <w:trPr>
          <w:jc w:val="center"/>
        </w:trPr>
        <w:tc>
          <w:tcPr>
            <w:tcW w:w="0" w:type="auto"/>
            <w:shd w:val="clear" w:color="auto" w:fill="0071C5"/>
            <w:tcMar>
              <w:top w:w="40" w:type="dxa"/>
              <w:left w:w="40" w:type="dxa"/>
              <w:bottom w:w="40" w:type="dxa"/>
              <w:right w:w="40" w:type="dxa"/>
            </w:tcMar>
            <w:vAlign w:val="bottom"/>
          </w:tcPr>
          <w:p w14:paraId="3750D6E9"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rPr>
              <w:t>OUR PANDEMIC RESPONSE</w:t>
            </w:r>
          </w:p>
        </w:tc>
      </w:tr>
    </w:tbl>
    <w:p w14:paraId="3750D6EB"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Our top priority during the COVID-19 pandemic is protecting the health and safety of our employees. As governments institute new restrictions on commercial operations, we are working to ensure our compliance while also maintaining business continuity for e</w:t>
      </w:r>
      <w:r>
        <w:rPr>
          <w:rFonts w:ascii="Arial" w:eastAsia="宋体" w:hAnsi="Arial" w:cs="Arial"/>
          <w:color w:val="333333"/>
          <w:sz w:val="18"/>
          <w:szCs w:val="18"/>
        </w:rPr>
        <w:t>ssential operations in our factories. At this time, our factories continue to operate around the world in accordance with guidance issued by local and national government authorities. We remain open as we support our employees who work in labs and factorie</w:t>
      </w:r>
      <w:r>
        <w:rPr>
          <w:rFonts w:ascii="Arial" w:eastAsia="宋体" w:hAnsi="Arial" w:cs="Arial"/>
          <w:color w:val="333333"/>
          <w:sz w:val="18"/>
          <w:szCs w:val="18"/>
        </w:rPr>
        <w:t xml:space="preserve">s critical to our world’s digital infrastructure. </w:t>
      </w:r>
    </w:p>
    <w:p w14:paraId="3750D6EC"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For the first three months of 2020 we observed strong notebook platform demand driven by the increase in working and learning from home and saw continued strength in data center demand as cloud service pro</w:t>
      </w:r>
      <w:r>
        <w:rPr>
          <w:rFonts w:ascii="Arial" w:eastAsia="宋体" w:hAnsi="Arial" w:cs="Arial"/>
          <w:color w:val="333333"/>
          <w:sz w:val="18"/>
          <w:szCs w:val="18"/>
        </w:rPr>
        <w:t xml:space="preserve">viders increased capacity. However, weakness in the industrial and retail verticals drove weaker demand in our IOTG business. </w:t>
      </w:r>
    </w:p>
    <w:p w14:paraId="3750D6ED"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Our technology runs most of the world’s internet, communications, and government digital infrastructures, and our products and ca</w:t>
      </w:r>
      <w:r>
        <w:rPr>
          <w:rFonts w:ascii="Arial" w:eastAsia="宋体" w:hAnsi="Arial" w:cs="Arial"/>
          <w:color w:val="333333"/>
          <w:sz w:val="18"/>
          <w:szCs w:val="18"/>
        </w:rPr>
        <w:t xml:space="preserve">pabilities are delivering vital computing power for medical research, robotics for assisted patient care, and artificial intelligence and data analytics for public health. Our platforms that support telemedicine have also taken on greater importance since </w:t>
      </w:r>
      <w:r>
        <w:rPr>
          <w:rFonts w:ascii="Arial" w:eastAsia="宋体" w:hAnsi="Arial" w:cs="Arial"/>
          <w:color w:val="333333"/>
          <w:sz w:val="18"/>
          <w:szCs w:val="18"/>
        </w:rPr>
        <w:t>the outbreak of COVID-19 as hospitals and healthcare workers scale to meet the increasing demand for care. The PCs and networking technologies that we and our customers deliver are supporting the unprecedented volume of remote workers and enabling personal</w:t>
      </w:r>
      <w:r>
        <w:rPr>
          <w:rFonts w:ascii="Arial" w:eastAsia="宋体" w:hAnsi="Arial" w:cs="Arial"/>
          <w:color w:val="333333"/>
          <w:sz w:val="18"/>
          <w:szCs w:val="18"/>
        </w:rPr>
        <w:t xml:space="preserve"> connections while social distancing. </w:t>
      </w:r>
    </w:p>
    <w:p w14:paraId="3750D6EE"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We are focused on protecting the health and safety of our employees and we continue to operate to deliver for our customers while contributing to our communities. </w:t>
      </w:r>
    </w:p>
    <w:p w14:paraId="3750D6EF"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OUR EMPLOYEES</w:t>
      </w:r>
    </w:p>
    <w:p w14:paraId="3750D6F0"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Intel’s Pandemic Leadership Team, estab</w:t>
      </w:r>
      <w:r>
        <w:rPr>
          <w:rFonts w:ascii="Arial" w:eastAsia="宋体" w:hAnsi="Arial" w:cs="Arial"/>
          <w:color w:val="333333"/>
          <w:sz w:val="18"/>
          <w:szCs w:val="18"/>
        </w:rPr>
        <w:t>lished more than 15 years ago to improve Intel’s crisis management response capability, is deeply engaged to keep our employees safe. This specialized team includes medical and safety experts who work to safeguard the well-being of employees and minimize t</w:t>
      </w:r>
      <w:r>
        <w:rPr>
          <w:rFonts w:ascii="Arial" w:eastAsia="宋体" w:hAnsi="Arial" w:cs="Arial"/>
          <w:color w:val="333333"/>
          <w:sz w:val="18"/>
          <w:szCs w:val="18"/>
        </w:rPr>
        <w:t>he spread of infection. They also collaborate with local governments and public health organizations and implement their recommendations. In the past, the team has successfully helped us manage through global health issues such as bird flu, SARS, Ebola, Zi</w:t>
      </w:r>
      <w:r>
        <w:rPr>
          <w:rFonts w:ascii="Arial" w:eastAsia="宋体" w:hAnsi="Arial" w:cs="Arial"/>
          <w:color w:val="333333"/>
          <w:sz w:val="18"/>
          <w:szCs w:val="18"/>
        </w:rPr>
        <w:t xml:space="preserve">ka, and the H1N1 virus. </w:t>
      </w:r>
    </w:p>
    <w:p w14:paraId="3750D6F1" w14:textId="77777777" w:rsidR="002541AD" w:rsidRDefault="00901AA6">
      <w:pPr>
        <w:spacing w:line="288" w:lineRule="auto"/>
        <w:rPr>
          <w:rFonts w:ascii="Times New Roman" w:hAnsi="Times New Roman"/>
          <w:sz w:val="18"/>
          <w:szCs w:val="18"/>
        </w:rPr>
      </w:pPr>
      <w:r>
        <w:rPr>
          <w:rFonts w:ascii="Arial" w:eastAsia="宋体" w:hAnsi="Arial" w:cs="Arial"/>
          <w:color w:val="0071C5"/>
          <w:sz w:val="18"/>
          <w:szCs w:val="18"/>
        </w:rPr>
        <w:t>Working-from-home and social distancing policies.</w:t>
      </w:r>
      <w:r>
        <w:rPr>
          <w:rFonts w:ascii="Arial" w:eastAsia="宋体" w:hAnsi="Arial" w:cs="Arial"/>
          <w:color w:val="333333"/>
          <w:sz w:val="18"/>
          <w:szCs w:val="18"/>
        </w:rPr>
        <w:t xml:space="preserve"> As we navigate through the effects of the COVID-19 pandemic we are working to ensure compliance with orders and restrictions imposed by government authorities. We have significantly</w:t>
      </w:r>
      <w:r>
        <w:rPr>
          <w:rFonts w:ascii="Arial" w:eastAsia="宋体" w:hAnsi="Arial" w:cs="Arial"/>
          <w:color w:val="333333"/>
          <w:sz w:val="18"/>
          <w:szCs w:val="18"/>
        </w:rPr>
        <w:t xml:space="preserve"> reduced the number of people in our offices, helping to protect our employees who work in our labs and factories and who are essential to keeping our business running. Maintaining safe facilities is core to how we operate, and we are implementing addition</w:t>
      </w:r>
      <w:r>
        <w:rPr>
          <w:rFonts w:ascii="Arial" w:eastAsia="宋体" w:hAnsi="Arial" w:cs="Arial"/>
          <w:color w:val="333333"/>
          <w:sz w:val="18"/>
          <w:szCs w:val="18"/>
        </w:rPr>
        <w:t xml:space="preserve">al practices in our fabs and assembly test plants so manufacturing employees can safely continue performing critical work on site. In addition to increased cleaning of our facilities, our manufacturing sites are taking extra steps to effectively implement </w:t>
      </w:r>
      <w:r>
        <w:rPr>
          <w:rFonts w:ascii="Arial" w:eastAsia="宋体" w:hAnsi="Arial" w:cs="Arial"/>
          <w:color w:val="333333"/>
          <w:sz w:val="18"/>
          <w:szCs w:val="18"/>
        </w:rPr>
        <w:t xml:space="preserve">social distancing. Some of these measures include staggering shift changes, adjusting meeting locations and schedules, limiting activities that require close proximity, and making thermometers and masks available (in addition to the normal protective gear </w:t>
      </w:r>
      <w:r>
        <w:rPr>
          <w:rFonts w:ascii="Arial" w:eastAsia="宋体" w:hAnsi="Arial" w:cs="Arial"/>
          <w:color w:val="333333"/>
          <w:sz w:val="18"/>
          <w:szCs w:val="18"/>
        </w:rPr>
        <w:t>worn by many factory employees). At our construction sites, we are working closely with our general contractors to implement social distancing, increased cleaning, and other protocols to safeguard the health of all workers on site.</w:t>
      </w:r>
    </w:p>
    <w:p w14:paraId="3750D6F2" w14:textId="77777777" w:rsidR="002541AD" w:rsidRDefault="00901AA6">
      <w:pPr>
        <w:spacing w:line="288" w:lineRule="auto"/>
        <w:rPr>
          <w:rFonts w:ascii="Times New Roman" w:hAnsi="Times New Roman"/>
          <w:sz w:val="18"/>
          <w:szCs w:val="18"/>
        </w:rPr>
      </w:pPr>
      <w:r>
        <w:rPr>
          <w:rFonts w:ascii="Arial" w:eastAsia="宋体" w:hAnsi="Arial" w:cs="Arial"/>
          <w:color w:val="0071C5"/>
          <w:sz w:val="18"/>
          <w:szCs w:val="18"/>
        </w:rPr>
        <w:t>Compensation and expande</w:t>
      </w:r>
      <w:r>
        <w:rPr>
          <w:rFonts w:ascii="Arial" w:eastAsia="宋体" w:hAnsi="Arial" w:cs="Arial"/>
          <w:color w:val="0071C5"/>
          <w:sz w:val="18"/>
          <w:szCs w:val="18"/>
        </w:rPr>
        <w:t>d benefits</w:t>
      </w:r>
      <w:r>
        <w:rPr>
          <w:rFonts w:ascii="Arial" w:eastAsia="宋体" w:hAnsi="Arial" w:cs="Arial"/>
          <w:color w:val="333333"/>
          <w:sz w:val="18"/>
          <w:szCs w:val="18"/>
        </w:rPr>
        <w:t xml:space="preserve">. We are investing more than $100 million in additional benefits to aid and support employees, including special recognition for employees that have been working on-site and healthcare coverage changes under the U.S. Coronavirus Aid, Relief, and </w:t>
      </w:r>
      <w:r>
        <w:rPr>
          <w:rFonts w:ascii="Arial" w:eastAsia="宋体" w:hAnsi="Arial" w:cs="Arial"/>
          <w:color w:val="333333"/>
          <w:sz w:val="18"/>
          <w:szCs w:val="18"/>
        </w:rPr>
        <w:t xml:space="preserve">Economic Security Act (CARES Act). </w:t>
      </w:r>
    </w:p>
    <w:p w14:paraId="3750D6F3"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Employees and contractors asked to work from home or self-quarantine due to travel restrictions will be paid their regular pay, and Intel will reimburse up to 30 days of care services for employees who need backup childc</w:t>
      </w:r>
      <w:r>
        <w:rPr>
          <w:rFonts w:ascii="Arial" w:eastAsia="宋体" w:hAnsi="Arial" w:cs="Arial"/>
          <w:color w:val="333333"/>
          <w:sz w:val="18"/>
          <w:szCs w:val="18"/>
        </w:rPr>
        <w:t xml:space="preserve">are and/or elder care in the case where there are school or care center closures or if an employee or family member is required to be self-quarantined. </w:t>
      </w:r>
    </w:p>
    <w:p w14:paraId="3750D6F4"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To aid in the overall well-being of our employees, we also have our existing global Employee Assistance</w:t>
      </w:r>
      <w:r>
        <w:rPr>
          <w:rFonts w:ascii="Arial" w:eastAsia="宋体" w:hAnsi="Arial" w:cs="Arial"/>
          <w:color w:val="333333"/>
          <w:sz w:val="18"/>
          <w:szCs w:val="18"/>
        </w:rPr>
        <w:t xml:space="preserve"> Plan that provides confidential counseling and work-life services to employees and immediate family members.</w:t>
      </w:r>
    </w:p>
    <w:p w14:paraId="3750D6F5"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OUR CUSTOMERS</w:t>
      </w:r>
    </w:p>
    <w:p w14:paraId="3750D6F6"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We are in the midst of what is likely a historic deployment of remote work and digital access to services. We are committed to our c</w:t>
      </w:r>
      <w:r>
        <w:rPr>
          <w:rFonts w:ascii="Arial" w:eastAsia="宋体" w:hAnsi="Arial" w:cs="Arial"/>
          <w:color w:val="333333"/>
          <w:sz w:val="18"/>
          <w:szCs w:val="18"/>
        </w:rPr>
        <w:t>ustomers to enable the support they need to continue providing vital services, tools, and infrastructure to millions.</w:t>
      </w:r>
    </w:p>
    <w:p w14:paraId="3750D6F7" w14:textId="77777777" w:rsidR="002541AD" w:rsidRDefault="00901AA6">
      <w:pPr>
        <w:spacing w:line="288" w:lineRule="auto"/>
        <w:rPr>
          <w:rFonts w:ascii="Times New Roman" w:hAnsi="Times New Roman"/>
          <w:sz w:val="18"/>
          <w:szCs w:val="18"/>
        </w:rPr>
      </w:pPr>
      <w:r>
        <w:rPr>
          <w:rFonts w:ascii="Arial" w:eastAsia="宋体" w:hAnsi="Arial" w:cs="Arial"/>
          <w:color w:val="0071C5"/>
          <w:sz w:val="18"/>
          <w:szCs w:val="18"/>
        </w:rPr>
        <w:t>Operations.</w:t>
      </w:r>
      <w:r>
        <w:rPr>
          <w:rFonts w:ascii="Arial" w:eastAsia="宋体" w:hAnsi="Arial" w:cs="Arial"/>
          <w:color w:val="333333"/>
          <w:sz w:val="18"/>
          <w:szCs w:val="18"/>
        </w:rPr>
        <w:t xml:space="preserve"> Our factories continue to operate world-wide in compliance with the orders and restrictions imposed by government authorities </w:t>
      </w:r>
      <w:r>
        <w:rPr>
          <w:rFonts w:ascii="Arial" w:eastAsia="宋体" w:hAnsi="Arial" w:cs="Arial"/>
          <w:color w:val="333333"/>
          <w:sz w:val="18"/>
          <w:szCs w:val="18"/>
        </w:rPr>
        <w:t>in each of our locations, and we are working with our customers to meet their specific shipment needs. Our world-class safety standards have to date allowed our factories to continue to operate safely and with mostly on-time deliveries. We only allow emplo</w:t>
      </w:r>
      <w:r>
        <w:rPr>
          <w:rFonts w:ascii="Arial" w:eastAsia="宋体" w:hAnsi="Arial" w:cs="Arial"/>
          <w:color w:val="333333"/>
          <w:sz w:val="18"/>
          <w:szCs w:val="18"/>
        </w:rPr>
        <w:t>yees in our factories who are essential to the factories’ operations. By design, our “cleanrooms” and factories are among the cleanest places in the world. While most of our construction projects have remained operational, we temporarily paused a few proje</w:t>
      </w:r>
      <w:r>
        <w:rPr>
          <w:rFonts w:ascii="Arial" w:eastAsia="宋体" w:hAnsi="Arial" w:cs="Arial"/>
          <w:color w:val="333333"/>
          <w:sz w:val="18"/>
          <w:szCs w:val="18"/>
        </w:rPr>
        <w:t>cts due to local government restrictions at a small number of our sites. We currently expect these interruptions to have minimal impact on our product ramps and do not expect them to impact our process technology transition timelines. We remain on-track to</w:t>
      </w:r>
      <w:r>
        <w:rPr>
          <w:rFonts w:ascii="Arial" w:eastAsia="宋体" w:hAnsi="Arial" w:cs="Arial"/>
          <w:color w:val="333333"/>
          <w:sz w:val="18"/>
          <w:szCs w:val="18"/>
        </w:rPr>
        <w:t xml:space="preserve"> add sufficient wafer capacity this year to meet anticipated market demand and restore our PC unit inventory levels.</w:t>
      </w:r>
    </w:p>
    <w:p w14:paraId="3750D6F8"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160"/>
        <w:gridCol w:w="3738"/>
      </w:tblGrid>
      <w:tr w:rsidR="002541AD" w14:paraId="3750D6FA" w14:textId="77777777">
        <w:tc>
          <w:tcPr>
            <w:tcW w:w="0" w:type="auto"/>
            <w:gridSpan w:val="3"/>
            <w:shd w:val="clear" w:color="auto" w:fill="auto"/>
            <w:vAlign w:val="center"/>
          </w:tcPr>
          <w:p w14:paraId="3750D6F9" w14:textId="77777777" w:rsidR="002541AD" w:rsidRDefault="002541AD">
            <w:pPr>
              <w:rPr>
                <w:rFonts w:ascii="Times New Roman" w:hAnsi="Times New Roman"/>
                <w:sz w:val="20"/>
                <w:szCs w:val="20"/>
              </w:rPr>
            </w:pPr>
          </w:p>
        </w:tc>
      </w:tr>
      <w:tr w:rsidR="002541AD" w14:paraId="3750D6FE" w14:textId="77777777">
        <w:tc>
          <w:tcPr>
            <w:tcW w:w="1450" w:type="pct"/>
            <w:shd w:val="clear" w:color="auto" w:fill="auto"/>
            <w:vAlign w:val="center"/>
          </w:tcPr>
          <w:p w14:paraId="3750D6FB" w14:textId="77777777" w:rsidR="002541AD" w:rsidRDefault="002541AD">
            <w:pPr>
              <w:rPr>
                <w:rFonts w:ascii="Times New Roman" w:hAnsi="Times New Roman"/>
                <w:sz w:val="20"/>
                <w:szCs w:val="20"/>
              </w:rPr>
            </w:pPr>
          </w:p>
        </w:tc>
        <w:tc>
          <w:tcPr>
            <w:tcW w:w="1300" w:type="pct"/>
            <w:shd w:val="clear" w:color="auto" w:fill="auto"/>
            <w:vAlign w:val="center"/>
          </w:tcPr>
          <w:p w14:paraId="3750D6FC" w14:textId="77777777" w:rsidR="002541AD" w:rsidRDefault="002541AD">
            <w:pPr>
              <w:rPr>
                <w:rFonts w:ascii="Times New Roman" w:hAnsi="Times New Roman"/>
                <w:sz w:val="20"/>
                <w:szCs w:val="20"/>
              </w:rPr>
            </w:pPr>
          </w:p>
        </w:tc>
        <w:tc>
          <w:tcPr>
            <w:tcW w:w="2250" w:type="pct"/>
            <w:shd w:val="clear" w:color="auto" w:fill="auto"/>
            <w:vAlign w:val="center"/>
          </w:tcPr>
          <w:p w14:paraId="3750D6FD" w14:textId="77777777" w:rsidR="002541AD" w:rsidRDefault="002541AD">
            <w:pPr>
              <w:rPr>
                <w:rFonts w:ascii="Times New Roman" w:hAnsi="Times New Roman"/>
                <w:sz w:val="20"/>
                <w:szCs w:val="20"/>
              </w:rPr>
            </w:pPr>
          </w:p>
        </w:tc>
      </w:tr>
      <w:tr w:rsidR="002541AD" w14:paraId="3750D702"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D6FF"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3C" wp14:editId="3750F83D">
                  <wp:extent cx="304800" cy="304800"/>
                  <wp:effectExtent l="0" t="0" r="0" b="0"/>
                  <wp:docPr id="59" name="图片 39"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9"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OUR PANDEMIC RESPONSE</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70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701"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2</w:t>
            </w:r>
          </w:p>
        </w:tc>
      </w:tr>
    </w:tbl>
    <w:p w14:paraId="3750D703" w14:textId="77777777" w:rsidR="002541AD" w:rsidRDefault="00901AA6">
      <w:r>
        <w:pict w14:anchorId="3750F83E">
          <v:rect id="_x0000_i1028" style="width:415.3pt;height:1.5pt" o:hralign="center" o:hrstd="t" o:hr="t" fillcolor="#a0a0a0" stroked="f"/>
        </w:pict>
      </w:r>
    </w:p>
    <w:p w14:paraId="3750D704" w14:textId="77777777" w:rsidR="002541AD" w:rsidRDefault="00901AA6">
      <w:pPr>
        <w:spacing w:line="288" w:lineRule="auto"/>
        <w:jc w:val="right"/>
        <w:rPr>
          <w:rFonts w:ascii="Times New Roman" w:hAnsi="Times New Roman"/>
          <w:sz w:val="16"/>
          <w:szCs w:val="16"/>
        </w:rPr>
      </w:pPr>
      <w:hyperlink r:id="rId30" w:anchor="s2CABEAF4222C52B4A34547BF538A8C27" w:history="1">
        <w:r>
          <w:rPr>
            <w:rStyle w:val="a5"/>
            <w:rFonts w:ascii="Arial" w:eastAsia="宋体" w:hAnsi="Arial" w:cs="Arial"/>
            <w:b/>
            <w:bCs/>
            <w:sz w:val="16"/>
            <w:szCs w:val="16"/>
          </w:rPr>
          <w:t>Table of Contents</w:t>
        </w:r>
      </w:hyperlink>
    </w:p>
    <w:p w14:paraId="3750D705" w14:textId="77777777" w:rsidR="002541AD" w:rsidRDefault="002541AD">
      <w:pPr>
        <w:spacing w:line="288" w:lineRule="auto"/>
        <w:jc w:val="right"/>
        <w:rPr>
          <w:rFonts w:ascii="Times New Roman" w:hAnsi="Times New Roman"/>
          <w:sz w:val="18"/>
          <w:szCs w:val="18"/>
        </w:rPr>
      </w:pPr>
    </w:p>
    <w:p w14:paraId="3750D706" w14:textId="77777777" w:rsidR="002541AD" w:rsidRDefault="002541AD">
      <w:pPr>
        <w:rPr>
          <w:rFonts w:ascii="Times New Roman" w:hAnsi="Times New Roman"/>
          <w:sz w:val="20"/>
          <w:szCs w:val="20"/>
        </w:rPr>
      </w:pPr>
    </w:p>
    <w:p w14:paraId="3750D707" w14:textId="77777777" w:rsidR="002541AD" w:rsidRDefault="00901AA6">
      <w:pPr>
        <w:spacing w:line="288" w:lineRule="auto"/>
        <w:rPr>
          <w:rFonts w:ascii="Times New Roman" w:hAnsi="Times New Roman"/>
          <w:sz w:val="18"/>
          <w:szCs w:val="18"/>
        </w:rPr>
      </w:pPr>
      <w:r>
        <w:rPr>
          <w:rFonts w:ascii="Arial" w:eastAsia="宋体" w:hAnsi="Arial" w:cs="Arial"/>
          <w:color w:val="0071C5"/>
          <w:sz w:val="18"/>
          <w:szCs w:val="18"/>
        </w:rPr>
        <w:t>Supply chain.</w:t>
      </w:r>
      <w:r>
        <w:rPr>
          <w:rFonts w:ascii="Arial" w:eastAsia="宋体" w:hAnsi="Arial" w:cs="Arial"/>
          <w:color w:val="333333"/>
          <w:sz w:val="18"/>
          <w:szCs w:val="18"/>
        </w:rPr>
        <w:t xml:space="preserve"> Our employees and partners around the world have collaborated and leveraged lessons learned—in recent months and from past challenges—to safely keep the global tech supply chain functioning. Our Pandemic Leadership Team is at the center of these efforts a</w:t>
      </w:r>
      <w:r>
        <w:rPr>
          <w:rFonts w:ascii="Arial" w:eastAsia="宋体" w:hAnsi="Arial" w:cs="Arial"/>
          <w:color w:val="333333"/>
          <w:sz w:val="18"/>
          <w:szCs w:val="18"/>
        </w:rPr>
        <w:t>nd through our Business Continuity Program we perform ongoing work with our suppliers to review their preparations to handle sudden disruptions to the supply chain. We have taken several actions throughout the pandemic to address our supply chain. For exam</w:t>
      </w:r>
      <w:r>
        <w:rPr>
          <w:rFonts w:ascii="Arial" w:eastAsia="宋体" w:hAnsi="Arial" w:cs="Arial"/>
          <w:color w:val="333333"/>
          <w:sz w:val="18"/>
          <w:szCs w:val="18"/>
        </w:rPr>
        <w:t xml:space="preserve">ple: </w:t>
      </w: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7346"/>
      </w:tblGrid>
      <w:tr w:rsidR="002541AD" w14:paraId="3750D70A" w14:textId="77777777">
        <w:trPr>
          <w:tblCellSpacing w:w="0" w:type="dxa"/>
        </w:trPr>
        <w:tc>
          <w:tcPr>
            <w:tcW w:w="960" w:type="dxa"/>
            <w:shd w:val="clear" w:color="auto" w:fill="auto"/>
            <w:vAlign w:val="center"/>
          </w:tcPr>
          <w:p w14:paraId="3750D708" w14:textId="77777777" w:rsidR="002541AD" w:rsidRDefault="002541AD">
            <w:pPr>
              <w:rPr>
                <w:rFonts w:ascii="Times New Roman" w:hAnsi="Times New Roman"/>
                <w:sz w:val="20"/>
                <w:szCs w:val="20"/>
              </w:rPr>
            </w:pPr>
          </w:p>
        </w:tc>
        <w:tc>
          <w:tcPr>
            <w:tcW w:w="0" w:type="auto"/>
            <w:shd w:val="clear" w:color="auto" w:fill="auto"/>
            <w:vAlign w:val="center"/>
          </w:tcPr>
          <w:p w14:paraId="3750D709" w14:textId="77777777" w:rsidR="002541AD" w:rsidRDefault="002541AD">
            <w:pPr>
              <w:rPr>
                <w:rFonts w:ascii="Times New Roman" w:hAnsi="Times New Roman"/>
                <w:sz w:val="20"/>
                <w:szCs w:val="20"/>
              </w:rPr>
            </w:pPr>
          </w:p>
        </w:tc>
      </w:tr>
      <w:tr w:rsidR="002541AD" w14:paraId="3750D70D" w14:textId="77777777">
        <w:trPr>
          <w:tblCellSpacing w:w="0" w:type="dxa"/>
        </w:trPr>
        <w:tc>
          <w:tcPr>
            <w:tcW w:w="0" w:type="auto"/>
            <w:shd w:val="clear" w:color="auto" w:fill="auto"/>
          </w:tcPr>
          <w:p w14:paraId="3750D70B"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D70C"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Where feasible and practicable, we increased inventory of raw materials as well as our supply of our finished goods coming out of China in early February. It is our practice to plan for scenarios where supply will be restricted or </w:t>
            </w:r>
            <w:r>
              <w:rPr>
                <w:rFonts w:ascii="Arial" w:eastAsia="宋体" w:hAnsi="Arial" w:cs="Arial"/>
                <w:color w:val="333333"/>
                <w:sz w:val="18"/>
                <w:szCs w:val="18"/>
              </w:rPr>
              <w:t>compromised in our supply chain for 30-60 days or more. </w:t>
            </w:r>
          </w:p>
        </w:tc>
      </w:tr>
    </w:tbl>
    <w:p w14:paraId="3750D70E" w14:textId="77777777" w:rsidR="002541AD" w:rsidRDefault="002541AD">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7346"/>
      </w:tblGrid>
      <w:tr w:rsidR="002541AD" w14:paraId="3750D711" w14:textId="77777777">
        <w:trPr>
          <w:tblCellSpacing w:w="0" w:type="dxa"/>
        </w:trPr>
        <w:tc>
          <w:tcPr>
            <w:tcW w:w="960" w:type="dxa"/>
            <w:shd w:val="clear" w:color="auto" w:fill="auto"/>
            <w:vAlign w:val="center"/>
          </w:tcPr>
          <w:p w14:paraId="3750D70F" w14:textId="77777777" w:rsidR="002541AD" w:rsidRDefault="002541AD">
            <w:pPr>
              <w:rPr>
                <w:rFonts w:ascii="Times New Roman" w:hAnsi="Times New Roman"/>
                <w:sz w:val="20"/>
                <w:szCs w:val="20"/>
              </w:rPr>
            </w:pPr>
          </w:p>
        </w:tc>
        <w:tc>
          <w:tcPr>
            <w:tcW w:w="0" w:type="auto"/>
            <w:shd w:val="clear" w:color="auto" w:fill="auto"/>
            <w:vAlign w:val="center"/>
          </w:tcPr>
          <w:p w14:paraId="3750D710" w14:textId="77777777" w:rsidR="002541AD" w:rsidRDefault="002541AD">
            <w:pPr>
              <w:rPr>
                <w:rFonts w:ascii="Times New Roman" w:hAnsi="Times New Roman"/>
                <w:sz w:val="20"/>
                <w:szCs w:val="20"/>
              </w:rPr>
            </w:pPr>
          </w:p>
        </w:tc>
      </w:tr>
      <w:tr w:rsidR="002541AD" w14:paraId="3750D714" w14:textId="77777777">
        <w:trPr>
          <w:tblCellSpacing w:w="0" w:type="dxa"/>
        </w:trPr>
        <w:tc>
          <w:tcPr>
            <w:tcW w:w="0" w:type="auto"/>
            <w:shd w:val="clear" w:color="auto" w:fill="auto"/>
          </w:tcPr>
          <w:p w14:paraId="3750D712"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D713"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We activated backup planning to reroute and obtain charter flights if needed into and from China, securing capacity early. As the virus spread, we leveraged the successful methodology used in </w:t>
            </w:r>
            <w:r>
              <w:rPr>
                <w:rFonts w:ascii="Arial" w:eastAsia="宋体" w:hAnsi="Arial" w:cs="Arial"/>
                <w:color w:val="333333"/>
                <w:sz w:val="18"/>
                <w:szCs w:val="18"/>
              </w:rPr>
              <w:t>China for other parts of Asia and Europe.</w:t>
            </w:r>
          </w:p>
        </w:tc>
      </w:tr>
    </w:tbl>
    <w:p w14:paraId="3750D715" w14:textId="77777777" w:rsidR="002541AD" w:rsidRDefault="002541AD">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7346"/>
      </w:tblGrid>
      <w:tr w:rsidR="002541AD" w14:paraId="3750D718" w14:textId="77777777">
        <w:trPr>
          <w:tblCellSpacing w:w="0" w:type="dxa"/>
        </w:trPr>
        <w:tc>
          <w:tcPr>
            <w:tcW w:w="960" w:type="dxa"/>
            <w:shd w:val="clear" w:color="auto" w:fill="auto"/>
            <w:vAlign w:val="center"/>
          </w:tcPr>
          <w:p w14:paraId="3750D716" w14:textId="77777777" w:rsidR="002541AD" w:rsidRDefault="002541AD">
            <w:pPr>
              <w:rPr>
                <w:rFonts w:ascii="Times New Roman" w:hAnsi="Times New Roman"/>
                <w:sz w:val="20"/>
                <w:szCs w:val="20"/>
              </w:rPr>
            </w:pPr>
          </w:p>
        </w:tc>
        <w:tc>
          <w:tcPr>
            <w:tcW w:w="0" w:type="auto"/>
            <w:shd w:val="clear" w:color="auto" w:fill="auto"/>
            <w:vAlign w:val="center"/>
          </w:tcPr>
          <w:p w14:paraId="3750D717" w14:textId="77777777" w:rsidR="002541AD" w:rsidRDefault="002541AD">
            <w:pPr>
              <w:rPr>
                <w:rFonts w:ascii="Times New Roman" w:hAnsi="Times New Roman"/>
                <w:sz w:val="20"/>
                <w:szCs w:val="20"/>
              </w:rPr>
            </w:pPr>
          </w:p>
        </w:tc>
      </w:tr>
      <w:tr w:rsidR="002541AD" w14:paraId="3750D71B" w14:textId="77777777">
        <w:trPr>
          <w:tblCellSpacing w:w="0" w:type="dxa"/>
        </w:trPr>
        <w:tc>
          <w:tcPr>
            <w:tcW w:w="0" w:type="auto"/>
            <w:shd w:val="clear" w:color="auto" w:fill="auto"/>
          </w:tcPr>
          <w:p w14:paraId="3750D719"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D71A"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We evaluated the end-to-end supply line needs for all products ramping this year, worked on securing supply lines and deployed our business continuity plans to mitigate potential risks.</w:t>
            </w:r>
          </w:p>
        </w:tc>
      </w:tr>
    </w:tbl>
    <w:p w14:paraId="3750D71C"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We are </w:t>
      </w:r>
      <w:r>
        <w:rPr>
          <w:rFonts w:ascii="Arial" w:eastAsia="宋体" w:hAnsi="Arial" w:cs="Arial"/>
          <w:color w:val="333333"/>
          <w:sz w:val="18"/>
          <w:szCs w:val="18"/>
        </w:rPr>
        <w:t>working with governments around the world to confirm our compliance with local requirements for continued operation as an essential business. We have also worked closely with our suppliers to help protect their employees' health and safety, to provide supp</w:t>
      </w:r>
      <w:r>
        <w:rPr>
          <w:rFonts w:ascii="Arial" w:eastAsia="宋体" w:hAnsi="Arial" w:cs="Arial"/>
          <w:color w:val="333333"/>
          <w:sz w:val="18"/>
          <w:szCs w:val="18"/>
        </w:rPr>
        <w:t>lier assistance to mitigate supply disruptions, and to clarify our continued expectations for labor practices and human rights in line with the Responsible Business Alliance Code of Conduct.</w:t>
      </w:r>
    </w:p>
    <w:p w14:paraId="3750D71D"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OUR COMMUNITY</w:t>
      </w:r>
    </w:p>
    <w:p w14:paraId="3750D71E"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Intel has a longstanding commitment to support the </w:t>
      </w:r>
      <w:r>
        <w:rPr>
          <w:rFonts w:ascii="Arial" w:eastAsia="宋体" w:hAnsi="Arial" w:cs="Arial"/>
          <w:color w:val="333333"/>
          <w:sz w:val="18"/>
          <w:szCs w:val="18"/>
        </w:rPr>
        <w:t xml:space="preserve">local communities where we operate and to create a better world through the power of our technology. We have </w:t>
      </w:r>
      <w:hyperlink r:id="rId31" w:history="1">
        <w:r>
          <w:rPr>
            <w:rStyle w:val="a5"/>
            <w:rFonts w:ascii="Arial" w:eastAsia="宋体" w:hAnsi="Arial" w:cs="Arial"/>
            <w:color w:val="333333"/>
            <w:sz w:val="18"/>
            <w:szCs w:val="18"/>
            <w:u w:val="none"/>
          </w:rPr>
          <w:t>committed over $60 million</w:t>
        </w:r>
      </w:hyperlink>
      <w:r>
        <w:rPr>
          <w:rFonts w:ascii="Arial" w:eastAsia="宋体" w:hAnsi="Arial" w:cs="Arial"/>
          <w:color w:val="333333"/>
          <w:sz w:val="18"/>
          <w:szCs w:val="18"/>
        </w:rPr>
        <w:t xml:space="preserve"> to accelerate access to technology needed to combat the crisis and to support the needs of frontline healthcare workers and people in our local communities. We've also been inspired by our employees who have proposed innovative ideas for how we can apply </w:t>
      </w:r>
      <w:r>
        <w:rPr>
          <w:rFonts w:ascii="Arial" w:eastAsia="宋体" w:hAnsi="Arial" w:cs="Arial"/>
          <w:color w:val="333333"/>
          <w:sz w:val="18"/>
          <w:szCs w:val="18"/>
        </w:rPr>
        <w:t>our resources and technology to support our stakeholders throughout this crisis.</w:t>
      </w:r>
    </w:p>
    <w:p w14:paraId="3750D71F" w14:textId="77777777" w:rsidR="002541AD" w:rsidRDefault="00901AA6">
      <w:pPr>
        <w:spacing w:line="288" w:lineRule="auto"/>
        <w:rPr>
          <w:rFonts w:ascii="Times New Roman" w:hAnsi="Times New Roman"/>
          <w:sz w:val="18"/>
          <w:szCs w:val="18"/>
        </w:rPr>
      </w:pPr>
      <w:r>
        <w:rPr>
          <w:rFonts w:ascii="Arial" w:eastAsia="宋体" w:hAnsi="Arial" w:cs="Arial"/>
          <w:color w:val="0071C5"/>
          <w:sz w:val="18"/>
          <w:szCs w:val="18"/>
        </w:rPr>
        <w:t>Using our technology to help.</w:t>
      </w:r>
      <w:r>
        <w:rPr>
          <w:rFonts w:ascii="Arial" w:eastAsia="宋体" w:hAnsi="Arial" w:cs="Arial"/>
          <w:color w:val="333333"/>
          <w:sz w:val="18"/>
          <w:szCs w:val="18"/>
        </w:rPr>
        <w:t xml:space="preserve"> In April, we pledged $50 million in a Pandemic Response Technology Initiative to combat COVID-19 through accelerating access to technology at the</w:t>
      </w:r>
      <w:r>
        <w:rPr>
          <w:rFonts w:ascii="Arial" w:eastAsia="宋体" w:hAnsi="Arial" w:cs="Arial"/>
          <w:color w:val="333333"/>
          <w:sz w:val="18"/>
          <w:szCs w:val="18"/>
        </w:rPr>
        <w:t xml:space="preserve"> point of patient care, speeding scientific research, and ensuring access to online learning for students. A portion of this amount has been allocated to an additional innovation fund that supports requests from external partners and employee-led relief pr</w:t>
      </w:r>
      <w:r>
        <w:rPr>
          <w:rFonts w:ascii="Arial" w:eastAsia="宋体" w:hAnsi="Arial" w:cs="Arial"/>
          <w:color w:val="333333"/>
          <w:sz w:val="18"/>
          <w:szCs w:val="18"/>
        </w:rPr>
        <w:t>ojects where access to Intel expertise and resources can have immediate impact. This initiative builds on prior announcements of $10 million in donations that are supporting local communities during this critical time.</w:t>
      </w:r>
    </w:p>
    <w:p w14:paraId="3750D720"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We are providing access to our intell</w:t>
      </w:r>
      <w:r>
        <w:rPr>
          <w:rFonts w:ascii="Arial" w:eastAsia="宋体" w:hAnsi="Arial" w:cs="Arial"/>
          <w:color w:val="333333"/>
          <w:sz w:val="18"/>
          <w:szCs w:val="18"/>
        </w:rPr>
        <w:t xml:space="preserve">ectual property and partnering with customers to put technology to work towards understanding and fighting COVID-19. For example: </w:t>
      </w: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7346"/>
      </w:tblGrid>
      <w:tr w:rsidR="002541AD" w14:paraId="3750D723" w14:textId="77777777">
        <w:trPr>
          <w:tblCellSpacing w:w="0" w:type="dxa"/>
        </w:trPr>
        <w:tc>
          <w:tcPr>
            <w:tcW w:w="960" w:type="dxa"/>
            <w:shd w:val="clear" w:color="auto" w:fill="auto"/>
            <w:vAlign w:val="center"/>
          </w:tcPr>
          <w:p w14:paraId="3750D721" w14:textId="77777777" w:rsidR="002541AD" w:rsidRDefault="002541AD">
            <w:pPr>
              <w:rPr>
                <w:rFonts w:ascii="Times New Roman" w:hAnsi="Times New Roman"/>
                <w:sz w:val="20"/>
                <w:szCs w:val="20"/>
              </w:rPr>
            </w:pPr>
          </w:p>
        </w:tc>
        <w:tc>
          <w:tcPr>
            <w:tcW w:w="0" w:type="auto"/>
            <w:shd w:val="clear" w:color="auto" w:fill="auto"/>
            <w:vAlign w:val="center"/>
          </w:tcPr>
          <w:p w14:paraId="3750D722" w14:textId="77777777" w:rsidR="002541AD" w:rsidRDefault="002541AD">
            <w:pPr>
              <w:rPr>
                <w:rFonts w:ascii="Times New Roman" w:hAnsi="Times New Roman"/>
                <w:sz w:val="20"/>
                <w:szCs w:val="20"/>
              </w:rPr>
            </w:pPr>
          </w:p>
        </w:tc>
      </w:tr>
      <w:tr w:rsidR="002541AD" w14:paraId="3750D726" w14:textId="77777777">
        <w:trPr>
          <w:tblCellSpacing w:w="0" w:type="dxa"/>
        </w:trPr>
        <w:tc>
          <w:tcPr>
            <w:tcW w:w="0" w:type="auto"/>
            <w:shd w:val="clear" w:color="auto" w:fill="auto"/>
          </w:tcPr>
          <w:p w14:paraId="3750D724"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D725"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We are giving COVID-19 scientists and researchers free access to our worldwide intellectual property </w:t>
            </w:r>
            <w:r>
              <w:rPr>
                <w:rFonts w:ascii="Arial" w:eastAsia="宋体" w:hAnsi="Arial" w:cs="Arial"/>
                <w:color w:val="333333"/>
                <w:sz w:val="18"/>
                <w:szCs w:val="18"/>
              </w:rPr>
              <w:t>portfolio. We will continue to invent—and protect—our intellectual property, but we offer it freely to those working to protect people from this pandemic.</w:t>
            </w:r>
          </w:p>
        </w:tc>
      </w:tr>
    </w:tbl>
    <w:p w14:paraId="3750D727" w14:textId="77777777" w:rsidR="002541AD" w:rsidRDefault="002541AD">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7346"/>
      </w:tblGrid>
      <w:tr w:rsidR="002541AD" w14:paraId="3750D72A" w14:textId="77777777">
        <w:trPr>
          <w:tblCellSpacing w:w="0" w:type="dxa"/>
        </w:trPr>
        <w:tc>
          <w:tcPr>
            <w:tcW w:w="960" w:type="dxa"/>
            <w:shd w:val="clear" w:color="auto" w:fill="auto"/>
            <w:vAlign w:val="center"/>
          </w:tcPr>
          <w:p w14:paraId="3750D728" w14:textId="77777777" w:rsidR="002541AD" w:rsidRDefault="002541AD">
            <w:pPr>
              <w:rPr>
                <w:rFonts w:ascii="Times New Roman" w:hAnsi="Times New Roman"/>
                <w:sz w:val="20"/>
                <w:szCs w:val="20"/>
              </w:rPr>
            </w:pPr>
          </w:p>
        </w:tc>
        <w:tc>
          <w:tcPr>
            <w:tcW w:w="0" w:type="auto"/>
            <w:shd w:val="clear" w:color="auto" w:fill="auto"/>
            <w:vAlign w:val="center"/>
          </w:tcPr>
          <w:p w14:paraId="3750D729" w14:textId="77777777" w:rsidR="002541AD" w:rsidRDefault="002541AD">
            <w:pPr>
              <w:rPr>
                <w:rFonts w:ascii="Times New Roman" w:hAnsi="Times New Roman"/>
                <w:sz w:val="20"/>
                <w:szCs w:val="20"/>
              </w:rPr>
            </w:pPr>
          </w:p>
        </w:tc>
      </w:tr>
      <w:tr w:rsidR="002541AD" w14:paraId="3750D72D" w14:textId="77777777">
        <w:trPr>
          <w:tblCellSpacing w:w="0" w:type="dxa"/>
        </w:trPr>
        <w:tc>
          <w:tcPr>
            <w:tcW w:w="0" w:type="auto"/>
            <w:shd w:val="clear" w:color="auto" w:fill="auto"/>
          </w:tcPr>
          <w:p w14:paraId="3750D72B"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D72C"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We are teaming with Lenovo and BGI Genomics to accelerate the analysis of genomic characterist</w:t>
            </w:r>
            <w:r>
              <w:rPr>
                <w:rFonts w:ascii="Arial" w:eastAsia="宋体" w:hAnsi="Arial" w:cs="Arial"/>
                <w:color w:val="333333"/>
                <w:sz w:val="18"/>
                <w:szCs w:val="18"/>
              </w:rPr>
              <w:t>ics of COVID-19. Our combined work will further advance the capabilities of BGI’s sequencing tools to help scientists investigate transmission patterns of the virus and create better diagnostic methods.</w:t>
            </w:r>
          </w:p>
        </w:tc>
      </w:tr>
    </w:tbl>
    <w:p w14:paraId="3750D72E" w14:textId="77777777" w:rsidR="002541AD" w:rsidRDefault="002541AD">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7346"/>
      </w:tblGrid>
      <w:tr w:rsidR="002541AD" w14:paraId="3750D731" w14:textId="77777777">
        <w:trPr>
          <w:tblCellSpacing w:w="0" w:type="dxa"/>
        </w:trPr>
        <w:tc>
          <w:tcPr>
            <w:tcW w:w="960" w:type="dxa"/>
            <w:shd w:val="clear" w:color="auto" w:fill="auto"/>
            <w:vAlign w:val="center"/>
          </w:tcPr>
          <w:p w14:paraId="3750D72F" w14:textId="77777777" w:rsidR="002541AD" w:rsidRDefault="002541AD">
            <w:pPr>
              <w:rPr>
                <w:rFonts w:ascii="Times New Roman" w:hAnsi="Times New Roman"/>
                <w:sz w:val="20"/>
                <w:szCs w:val="20"/>
              </w:rPr>
            </w:pPr>
          </w:p>
        </w:tc>
        <w:tc>
          <w:tcPr>
            <w:tcW w:w="0" w:type="auto"/>
            <w:shd w:val="clear" w:color="auto" w:fill="auto"/>
            <w:vAlign w:val="center"/>
          </w:tcPr>
          <w:p w14:paraId="3750D730" w14:textId="77777777" w:rsidR="002541AD" w:rsidRDefault="002541AD">
            <w:pPr>
              <w:rPr>
                <w:rFonts w:ascii="Times New Roman" w:hAnsi="Times New Roman"/>
                <w:sz w:val="20"/>
                <w:szCs w:val="20"/>
              </w:rPr>
            </w:pPr>
          </w:p>
        </w:tc>
      </w:tr>
      <w:tr w:rsidR="002541AD" w14:paraId="3750D734" w14:textId="77777777">
        <w:trPr>
          <w:tblCellSpacing w:w="0" w:type="dxa"/>
        </w:trPr>
        <w:tc>
          <w:tcPr>
            <w:tcW w:w="0" w:type="auto"/>
            <w:shd w:val="clear" w:color="auto" w:fill="auto"/>
          </w:tcPr>
          <w:p w14:paraId="3750D732"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D733"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We are deploying Intel </w:t>
            </w:r>
            <w:r>
              <w:rPr>
                <w:rFonts w:ascii="Arial" w:eastAsia="宋体" w:hAnsi="Arial" w:cs="Arial"/>
                <w:color w:val="333333"/>
                <w:sz w:val="18"/>
                <w:szCs w:val="18"/>
              </w:rPr>
              <w:t>platform-based robots in hospitals to protect doctors and nurses by transporting medical supplies and surgical equipment to reduce human-to-human interactions.</w:t>
            </w:r>
          </w:p>
        </w:tc>
      </w:tr>
    </w:tbl>
    <w:p w14:paraId="3750D735" w14:textId="77777777" w:rsidR="002541AD" w:rsidRDefault="002541AD">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7346"/>
      </w:tblGrid>
      <w:tr w:rsidR="002541AD" w14:paraId="3750D738" w14:textId="77777777">
        <w:trPr>
          <w:tblCellSpacing w:w="0" w:type="dxa"/>
        </w:trPr>
        <w:tc>
          <w:tcPr>
            <w:tcW w:w="960" w:type="dxa"/>
            <w:shd w:val="clear" w:color="auto" w:fill="auto"/>
            <w:vAlign w:val="center"/>
          </w:tcPr>
          <w:p w14:paraId="3750D736" w14:textId="77777777" w:rsidR="002541AD" w:rsidRDefault="002541AD">
            <w:pPr>
              <w:rPr>
                <w:rFonts w:ascii="Times New Roman" w:hAnsi="Times New Roman"/>
                <w:sz w:val="20"/>
                <w:szCs w:val="20"/>
              </w:rPr>
            </w:pPr>
          </w:p>
        </w:tc>
        <w:tc>
          <w:tcPr>
            <w:tcW w:w="0" w:type="auto"/>
            <w:shd w:val="clear" w:color="auto" w:fill="auto"/>
            <w:vAlign w:val="center"/>
          </w:tcPr>
          <w:p w14:paraId="3750D737" w14:textId="77777777" w:rsidR="002541AD" w:rsidRDefault="002541AD">
            <w:pPr>
              <w:rPr>
                <w:rFonts w:ascii="Times New Roman" w:hAnsi="Times New Roman"/>
                <w:sz w:val="20"/>
                <w:szCs w:val="20"/>
              </w:rPr>
            </w:pPr>
          </w:p>
        </w:tc>
      </w:tr>
      <w:tr w:rsidR="002541AD" w14:paraId="3750D73B" w14:textId="77777777">
        <w:trPr>
          <w:tblCellSpacing w:w="0" w:type="dxa"/>
        </w:trPr>
        <w:tc>
          <w:tcPr>
            <w:tcW w:w="0" w:type="auto"/>
            <w:shd w:val="clear" w:color="auto" w:fill="auto"/>
          </w:tcPr>
          <w:p w14:paraId="3750D739"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D73A"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We are working with Dyson and medical consultancy firm TTP to supply FPGAs for CoVent, a </w:t>
            </w:r>
            <w:r>
              <w:rPr>
                <w:rFonts w:ascii="Arial" w:eastAsia="宋体" w:hAnsi="Arial" w:cs="Arial"/>
                <w:color w:val="333333"/>
                <w:sz w:val="18"/>
                <w:szCs w:val="18"/>
              </w:rPr>
              <w:t xml:space="preserve">new ventilator specifically designed in response to the U.K. government’s request for help. </w:t>
            </w:r>
          </w:p>
        </w:tc>
      </w:tr>
    </w:tbl>
    <w:p w14:paraId="3750D73C" w14:textId="77777777" w:rsidR="002541AD" w:rsidRDefault="002541AD">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960"/>
        <w:gridCol w:w="7346"/>
      </w:tblGrid>
      <w:tr w:rsidR="002541AD" w14:paraId="3750D73F" w14:textId="77777777">
        <w:trPr>
          <w:tblCellSpacing w:w="0" w:type="dxa"/>
        </w:trPr>
        <w:tc>
          <w:tcPr>
            <w:tcW w:w="960" w:type="dxa"/>
            <w:shd w:val="clear" w:color="auto" w:fill="auto"/>
            <w:vAlign w:val="center"/>
          </w:tcPr>
          <w:p w14:paraId="3750D73D" w14:textId="77777777" w:rsidR="002541AD" w:rsidRDefault="002541AD">
            <w:pPr>
              <w:rPr>
                <w:rFonts w:ascii="Times New Roman" w:hAnsi="Times New Roman"/>
                <w:sz w:val="20"/>
                <w:szCs w:val="20"/>
              </w:rPr>
            </w:pPr>
          </w:p>
        </w:tc>
        <w:tc>
          <w:tcPr>
            <w:tcW w:w="0" w:type="auto"/>
            <w:shd w:val="clear" w:color="auto" w:fill="auto"/>
            <w:vAlign w:val="center"/>
          </w:tcPr>
          <w:p w14:paraId="3750D73E" w14:textId="77777777" w:rsidR="002541AD" w:rsidRDefault="002541AD">
            <w:pPr>
              <w:rPr>
                <w:rFonts w:ascii="Times New Roman" w:hAnsi="Times New Roman"/>
                <w:sz w:val="20"/>
                <w:szCs w:val="20"/>
              </w:rPr>
            </w:pPr>
          </w:p>
        </w:tc>
      </w:tr>
      <w:tr w:rsidR="002541AD" w14:paraId="3750D742" w14:textId="77777777">
        <w:trPr>
          <w:tblCellSpacing w:w="0" w:type="dxa"/>
        </w:trPr>
        <w:tc>
          <w:tcPr>
            <w:tcW w:w="0" w:type="auto"/>
            <w:shd w:val="clear" w:color="auto" w:fill="auto"/>
          </w:tcPr>
          <w:p w14:paraId="3750D740"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D741"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We are collaborating with Medtronic to add remote monitoring capabilities to their PB980 ventilator, which helps reduce exposure for healthcare providers treating COVID-19 patients. </w:t>
            </w:r>
          </w:p>
        </w:tc>
      </w:tr>
    </w:tbl>
    <w:p w14:paraId="3750D743" w14:textId="77777777" w:rsidR="002541AD" w:rsidRDefault="00901AA6">
      <w:pPr>
        <w:spacing w:line="288" w:lineRule="auto"/>
        <w:rPr>
          <w:rFonts w:ascii="Times New Roman" w:hAnsi="Times New Roman"/>
          <w:sz w:val="18"/>
          <w:szCs w:val="18"/>
        </w:rPr>
      </w:pPr>
      <w:r>
        <w:rPr>
          <w:rFonts w:ascii="Arial" w:eastAsia="宋体" w:hAnsi="Arial" w:cs="Arial"/>
          <w:color w:val="0071C5"/>
          <w:sz w:val="18"/>
          <w:szCs w:val="18"/>
        </w:rPr>
        <w:t>Philanthropic efforts.</w:t>
      </w:r>
      <w:r>
        <w:rPr>
          <w:rFonts w:ascii="Arial" w:eastAsia="宋体" w:hAnsi="Arial" w:cs="Arial"/>
          <w:color w:val="333333"/>
          <w:sz w:val="18"/>
          <w:szCs w:val="18"/>
        </w:rPr>
        <w:t xml:space="preserve"> We are also committed to providing monetary and non-monetary support to our communities. For example:</w:t>
      </w:r>
    </w:p>
    <w:tbl>
      <w:tblPr>
        <w:tblW w:w="0" w:type="auto"/>
        <w:tblCellSpacing w:w="0" w:type="dxa"/>
        <w:tblCellMar>
          <w:left w:w="0" w:type="dxa"/>
          <w:bottom w:w="240" w:type="dxa"/>
          <w:right w:w="0" w:type="dxa"/>
        </w:tblCellMar>
        <w:tblLook w:val="04A0" w:firstRow="1" w:lastRow="0" w:firstColumn="1" w:lastColumn="0" w:noHBand="0" w:noVBand="1"/>
      </w:tblPr>
      <w:tblGrid>
        <w:gridCol w:w="960"/>
        <w:gridCol w:w="7346"/>
      </w:tblGrid>
      <w:tr w:rsidR="002541AD" w14:paraId="3750D746" w14:textId="77777777">
        <w:trPr>
          <w:tblCellSpacing w:w="0" w:type="dxa"/>
        </w:trPr>
        <w:tc>
          <w:tcPr>
            <w:tcW w:w="960" w:type="dxa"/>
            <w:shd w:val="clear" w:color="auto" w:fill="auto"/>
            <w:vAlign w:val="center"/>
          </w:tcPr>
          <w:p w14:paraId="3750D744" w14:textId="77777777" w:rsidR="002541AD" w:rsidRDefault="002541AD">
            <w:pPr>
              <w:rPr>
                <w:rFonts w:ascii="Times New Roman" w:hAnsi="Times New Roman"/>
                <w:sz w:val="20"/>
                <w:szCs w:val="20"/>
              </w:rPr>
            </w:pPr>
          </w:p>
        </w:tc>
        <w:tc>
          <w:tcPr>
            <w:tcW w:w="0" w:type="auto"/>
            <w:shd w:val="clear" w:color="auto" w:fill="auto"/>
            <w:vAlign w:val="center"/>
          </w:tcPr>
          <w:p w14:paraId="3750D745" w14:textId="77777777" w:rsidR="002541AD" w:rsidRDefault="002541AD">
            <w:pPr>
              <w:rPr>
                <w:rFonts w:ascii="Times New Roman" w:hAnsi="Times New Roman"/>
                <w:sz w:val="20"/>
                <w:szCs w:val="20"/>
              </w:rPr>
            </w:pPr>
          </w:p>
        </w:tc>
      </w:tr>
      <w:tr w:rsidR="002541AD" w14:paraId="3750D749" w14:textId="77777777">
        <w:trPr>
          <w:tblCellSpacing w:w="0" w:type="dxa"/>
        </w:trPr>
        <w:tc>
          <w:tcPr>
            <w:tcW w:w="0" w:type="auto"/>
            <w:shd w:val="clear" w:color="auto" w:fill="auto"/>
          </w:tcPr>
          <w:p w14:paraId="3750D747"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D748"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We committed a $1 million donation to the International Red Cross to support global relief efforts for the COVID-19 pandemic.</w:t>
            </w:r>
          </w:p>
        </w:tc>
      </w:tr>
    </w:tbl>
    <w:p w14:paraId="3750D74A" w14:textId="77777777" w:rsidR="002541AD" w:rsidRDefault="002541AD">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960"/>
        <w:gridCol w:w="7346"/>
      </w:tblGrid>
      <w:tr w:rsidR="002541AD" w14:paraId="3750D74D" w14:textId="77777777">
        <w:trPr>
          <w:tblCellSpacing w:w="0" w:type="dxa"/>
        </w:trPr>
        <w:tc>
          <w:tcPr>
            <w:tcW w:w="960" w:type="dxa"/>
            <w:shd w:val="clear" w:color="auto" w:fill="auto"/>
            <w:vAlign w:val="center"/>
          </w:tcPr>
          <w:p w14:paraId="3750D74B" w14:textId="77777777" w:rsidR="002541AD" w:rsidRDefault="002541AD">
            <w:pPr>
              <w:rPr>
                <w:rFonts w:ascii="Times New Roman" w:hAnsi="Times New Roman"/>
                <w:sz w:val="20"/>
                <w:szCs w:val="20"/>
              </w:rPr>
            </w:pPr>
          </w:p>
        </w:tc>
        <w:tc>
          <w:tcPr>
            <w:tcW w:w="0" w:type="auto"/>
            <w:shd w:val="clear" w:color="auto" w:fill="auto"/>
            <w:vAlign w:val="center"/>
          </w:tcPr>
          <w:p w14:paraId="3750D74C" w14:textId="77777777" w:rsidR="002541AD" w:rsidRDefault="002541AD">
            <w:pPr>
              <w:rPr>
                <w:rFonts w:ascii="Times New Roman" w:hAnsi="Times New Roman"/>
                <w:sz w:val="20"/>
                <w:szCs w:val="20"/>
              </w:rPr>
            </w:pPr>
          </w:p>
        </w:tc>
      </w:tr>
      <w:tr w:rsidR="002541AD" w14:paraId="3750D750" w14:textId="77777777">
        <w:trPr>
          <w:tblCellSpacing w:w="0" w:type="dxa"/>
        </w:trPr>
        <w:tc>
          <w:tcPr>
            <w:tcW w:w="0" w:type="auto"/>
            <w:shd w:val="clear" w:color="auto" w:fill="auto"/>
          </w:tcPr>
          <w:p w14:paraId="3750D74E"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D74F"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We </w:t>
            </w:r>
            <w:r>
              <w:rPr>
                <w:rFonts w:ascii="Arial" w:eastAsia="宋体" w:hAnsi="Arial" w:cs="Arial"/>
                <w:color w:val="333333"/>
                <w:sz w:val="18"/>
                <w:szCs w:val="18"/>
              </w:rPr>
              <w:t>announced the Intel Foundation is providing $4 million to support COVID-19 relief efforts in communities where we have significant presence. The foundation also offered a special monetary matching opportunity for every regular full-time and part-time emplo</w:t>
            </w:r>
            <w:r>
              <w:rPr>
                <w:rFonts w:ascii="Arial" w:eastAsia="宋体" w:hAnsi="Arial" w:cs="Arial"/>
                <w:color w:val="333333"/>
                <w:sz w:val="18"/>
                <w:szCs w:val="18"/>
              </w:rPr>
              <w:t>yee and U.S. Intel retiree up to a total of $2 million for relief efforts around major Intel sites.</w:t>
            </w:r>
          </w:p>
        </w:tc>
      </w:tr>
    </w:tbl>
    <w:p w14:paraId="3750D751" w14:textId="77777777" w:rsidR="002541AD" w:rsidRDefault="002541AD">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960"/>
        <w:gridCol w:w="7346"/>
      </w:tblGrid>
      <w:tr w:rsidR="002541AD" w14:paraId="3750D754" w14:textId="77777777">
        <w:trPr>
          <w:tblCellSpacing w:w="0" w:type="dxa"/>
        </w:trPr>
        <w:tc>
          <w:tcPr>
            <w:tcW w:w="960" w:type="dxa"/>
            <w:shd w:val="clear" w:color="auto" w:fill="auto"/>
            <w:vAlign w:val="center"/>
          </w:tcPr>
          <w:p w14:paraId="3750D752" w14:textId="77777777" w:rsidR="002541AD" w:rsidRDefault="002541AD">
            <w:pPr>
              <w:rPr>
                <w:rFonts w:ascii="Times New Roman" w:hAnsi="Times New Roman"/>
                <w:sz w:val="20"/>
                <w:szCs w:val="20"/>
              </w:rPr>
            </w:pPr>
          </w:p>
        </w:tc>
        <w:tc>
          <w:tcPr>
            <w:tcW w:w="0" w:type="auto"/>
            <w:shd w:val="clear" w:color="auto" w:fill="auto"/>
            <w:vAlign w:val="center"/>
          </w:tcPr>
          <w:p w14:paraId="3750D753" w14:textId="77777777" w:rsidR="002541AD" w:rsidRDefault="002541AD">
            <w:pPr>
              <w:rPr>
                <w:rFonts w:ascii="Times New Roman" w:hAnsi="Times New Roman"/>
                <w:sz w:val="20"/>
                <w:szCs w:val="20"/>
              </w:rPr>
            </w:pPr>
          </w:p>
        </w:tc>
      </w:tr>
      <w:tr w:rsidR="002541AD" w14:paraId="3750D757" w14:textId="77777777">
        <w:trPr>
          <w:tblCellSpacing w:w="0" w:type="dxa"/>
        </w:trPr>
        <w:tc>
          <w:tcPr>
            <w:tcW w:w="0" w:type="auto"/>
            <w:shd w:val="clear" w:color="auto" w:fill="auto"/>
          </w:tcPr>
          <w:p w14:paraId="3750D755"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D756"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We donated more than 1 million items of personal protective equipment—masks, gloves, and other gear—to healthcare workers that were sourced from our </w:t>
            </w:r>
            <w:r>
              <w:rPr>
                <w:rFonts w:ascii="Arial" w:eastAsia="宋体" w:hAnsi="Arial" w:cs="Arial"/>
                <w:color w:val="333333"/>
                <w:sz w:val="18"/>
                <w:szCs w:val="18"/>
              </w:rPr>
              <w:t>factory stock and emergency supplies.</w:t>
            </w:r>
          </w:p>
        </w:tc>
      </w:tr>
    </w:tbl>
    <w:p w14:paraId="3750D758" w14:textId="77777777" w:rsidR="002541AD" w:rsidRDefault="002541AD">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960"/>
        <w:gridCol w:w="7346"/>
      </w:tblGrid>
      <w:tr w:rsidR="002541AD" w14:paraId="3750D75B" w14:textId="77777777">
        <w:trPr>
          <w:tblCellSpacing w:w="0" w:type="dxa"/>
        </w:trPr>
        <w:tc>
          <w:tcPr>
            <w:tcW w:w="960" w:type="dxa"/>
            <w:shd w:val="clear" w:color="auto" w:fill="auto"/>
            <w:vAlign w:val="center"/>
          </w:tcPr>
          <w:p w14:paraId="3750D759" w14:textId="77777777" w:rsidR="002541AD" w:rsidRDefault="002541AD">
            <w:pPr>
              <w:rPr>
                <w:rFonts w:ascii="Times New Roman" w:hAnsi="Times New Roman"/>
                <w:sz w:val="20"/>
                <w:szCs w:val="20"/>
              </w:rPr>
            </w:pPr>
          </w:p>
        </w:tc>
        <w:tc>
          <w:tcPr>
            <w:tcW w:w="0" w:type="auto"/>
            <w:shd w:val="clear" w:color="auto" w:fill="auto"/>
            <w:vAlign w:val="center"/>
          </w:tcPr>
          <w:p w14:paraId="3750D75A" w14:textId="77777777" w:rsidR="002541AD" w:rsidRDefault="002541AD">
            <w:pPr>
              <w:rPr>
                <w:rFonts w:ascii="Times New Roman" w:hAnsi="Times New Roman"/>
                <w:sz w:val="20"/>
                <w:szCs w:val="20"/>
              </w:rPr>
            </w:pPr>
          </w:p>
        </w:tc>
      </w:tr>
      <w:tr w:rsidR="002541AD" w14:paraId="3750D75E" w14:textId="77777777">
        <w:trPr>
          <w:tblCellSpacing w:w="0" w:type="dxa"/>
        </w:trPr>
        <w:tc>
          <w:tcPr>
            <w:tcW w:w="0" w:type="auto"/>
            <w:shd w:val="clear" w:color="auto" w:fill="auto"/>
          </w:tcPr>
          <w:p w14:paraId="3750D75C"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D75D"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We also joined the global XPRIZE Pandemic Alliance along with other companies to fuel collaboration on solutions through shared innovation to effectively address the immediate needs of the crisis.</w:t>
            </w:r>
          </w:p>
        </w:tc>
      </w:tr>
    </w:tbl>
    <w:p w14:paraId="3750D75F"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160"/>
        <w:gridCol w:w="3738"/>
      </w:tblGrid>
      <w:tr w:rsidR="002541AD" w14:paraId="3750D761" w14:textId="77777777">
        <w:tc>
          <w:tcPr>
            <w:tcW w:w="0" w:type="auto"/>
            <w:gridSpan w:val="3"/>
            <w:shd w:val="clear" w:color="auto" w:fill="auto"/>
            <w:vAlign w:val="center"/>
          </w:tcPr>
          <w:p w14:paraId="3750D760" w14:textId="77777777" w:rsidR="002541AD" w:rsidRDefault="002541AD">
            <w:pPr>
              <w:rPr>
                <w:rFonts w:ascii="Times New Roman" w:hAnsi="Times New Roman"/>
                <w:sz w:val="20"/>
                <w:szCs w:val="20"/>
              </w:rPr>
            </w:pPr>
          </w:p>
        </w:tc>
      </w:tr>
      <w:tr w:rsidR="002541AD" w14:paraId="3750D765" w14:textId="77777777">
        <w:tc>
          <w:tcPr>
            <w:tcW w:w="1450" w:type="pct"/>
            <w:shd w:val="clear" w:color="auto" w:fill="auto"/>
            <w:vAlign w:val="center"/>
          </w:tcPr>
          <w:p w14:paraId="3750D762" w14:textId="77777777" w:rsidR="002541AD" w:rsidRDefault="002541AD">
            <w:pPr>
              <w:rPr>
                <w:rFonts w:ascii="Times New Roman" w:hAnsi="Times New Roman"/>
                <w:sz w:val="20"/>
                <w:szCs w:val="20"/>
              </w:rPr>
            </w:pPr>
          </w:p>
        </w:tc>
        <w:tc>
          <w:tcPr>
            <w:tcW w:w="1300" w:type="pct"/>
            <w:shd w:val="clear" w:color="auto" w:fill="auto"/>
            <w:vAlign w:val="center"/>
          </w:tcPr>
          <w:p w14:paraId="3750D763" w14:textId="77777777" w:rsidR="002541AD" w:rsidRDefault="002541AD">
            <w:pPr>
              <w:rPr>
                <w:rFonts w:ascii="Times New Roman" w:hAnsi="Times New Roman"/>
                <w:sz w:val="20"/>
                <w:szCs w:val="20"/>
              </w:rPr>
            </w:pPr>
          </w:p>
        </w:tc>
        <w:tc>
          <w:tcPr>
            <w:tcW w:w="2250" w:type="pct"/>
            <w:shd w:val="clear" w:color="auto" w:fill="auto"/>
            <w:vAlign w:val="center"/>
          </w:tcPr>
          <w:p w14:paraId="3750D764" w14:textId="77777777" w:rsidR="002541AD" w:rsidRDefault="002541AD">
            <w:pPr>
              <w:rPr>
                <w:rFonts w:ascii="Times New Roman" w:hAnsi="Times New Roman"/>
                <w:sz w:val="20"/>
                <w:szCs w:val="20"/>
              </w:rPr>
            </w:pPr>
          </w:p>
        </w:tc>
      </w:tr>
      <w:tr w:rsidR="002541AD" w14:paraId="3750D769"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D766"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3F" wp14:editId="3750F840">
                  <wp:extent cx="304800" cy="304800"/>
                  <wp:effectExtent l="0" t="0" r="0" b="0"/>
                  <wp:docPr id="41" name="图片 41"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OUR PANDEMIC RESPONSE</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76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768"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3</w:t>
            </w:r>
          </w:p>
        </w:tc>
      </w:tr>
    </w:tbl>
    <w:p w14:paraId="3750D76A" w14:textId="77777777" w:rsidR="002541AD" w:rsidRDefault="00901AA6">
      <w:r>
        <w:pict w14:anchorId="3750F841">
          <v:rect id="_x0000_i1029" style="width:415.3pt;height:1.5pt" o:hralign="center" o:hrstd="t" o:hr="t" fillcolor="#a0a0a0" stroked="f"/>
        </w:pict>
      </w:r>
    </w:p>
    <w:p w14:paraId="3750D76B" w14:textId="77777777" w:rsidR="002541AD" w:rsidRDefault="00901AA6">
      <w:pPr>
        <w:spacing w:line="288" w:lineRule="auto"/>
        <w:jc w:val="right"/>
        <w:rPr>
          <w:rFonts w:ascii="Times New Roman" w:hAnsi="Times New Roman"/>
          <w:sz w:val="16"/>
          <w:szCs w:val="16"/>
        </w:rPr>
      </w:pPr>
      <w:hyperlink r:id="rId32" w:anchor="s2CABEAF4222C52B4A34547BF538A8C27" w:history="1">
        <w:r>
          <w:rPr>
            <w:rStyle w:val="a5"/>
            <w:rFonts w:ascii="Arial" w:eastAsia="宋体" w:hAnsi="Arial" w:cs="Arial"/>
            <w:b/>
            <w:bCs/>
            <w:sz w:val="16"/>
            <w:szCs w:val="16"/>
          </w:rPr>
          <w:t>Table of Contents</w:t>
        </w:r>
      </w:hyperlink>
    </w:p>
    <w:p w14:paraId="3750D76C" w14:textId="77777777" w:rsidR="002541AD" w:rsidRDefault="002541AD">
      <w:pPr>
        <w:spacing w:line="288" w:lineRule="auto"/>
        <w:jc w:val="right"/>
        <w:rPr>
          <w:rFonts w:ascii="Times New Roman" w:hAnsi="Times New Roman"/>
          <w:sz w:val="18"/>
          <w:szCs w:val="18"/>
        </w:rPr>
      </w:pPr>
    </w:p>
    <w:p w14:paraId="3750D76D" w14:textId="77777777" w:rsidR="002541AD" w:rsidRDefault="002541AD">
      <w:pPr>
        <w:rPr>
          <w:rFonts w:ascii="Times New Roman" w:hAnsi="Times New Roman"/>
          <w:sz w:val="20"/>
          <w:szCs w:val="20"/>
        </w:rPr>
      </w:pPr>
    </w:p>
    <w:p w14:paraId="3750D76E"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MOVING FORWARD</w:t>
      </w:r>
    </w:p>
    <w:p w14:paraId="3750D76F"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There is uncertainty around the impacts the pandemic will hav</w:t>
      </w:r>
      <w:r>
        <w:rPr>
          <w:rFonts w:ascii="Arial" w:eastAsia="宋体" w:hAnsi="Arial" w:cs="Arial"/>
          <w:color w:val="333333"/>
          <w:sz w:val="18"/>
          <w:szCs w:val="18"/>
        </w:rPr>
        <w:t>e on our business and the additional measures that may be necessary going forward. We will continue to actively monitor the situation, including the status of our workforce and factories, supply chain, and customers, suppliers, and vendors, to determine th</w:t>
      </w:r>
      <w:r>
        <w:rPr>
          <w:rFonts w:ascii="Arial" w:eastAsia="宋体" w:hAnsi="Arial" w:cs="Arial"/>
          <w:color w:val="333333"/>
          <w:sz w:val="18"/>
          <w:szCs w:val="18"/>
        </w:rPr>
        <w:t>e appropriate actions to protect the health and safety of our employees and our ongoing operations for our customers. This includes actions informed by the requirements and recommendations of the federal, state or local authorities.</w:t>
      </w:r>
    </w:p>
    <w:p w14:paraId="3750D770"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Economic and </w:t>
      </w:r>
      <w:r>
        <w:rPr>
          <w:rFonts w:ascii="Arial" w:eastAsia="宋体" w:hAnsi="Arial" w:cs="Arial"/>
          <w:color w:val="333333"/>
          <w:sz w:val="18"/>
          <w:szCs w:val="18"/>
        </w:rPr>
        <w:t xml:space="preserve">demand uncertainty in the current environment may impact our future results. We continue to assess how the effects of COVID-19 on the economy may offset the immediate catalysts from more remote work and learning, and we recognize that our operations could </w:t>
      </w:r>
      <w:r>
        <w:rPr>
          <w:rFonts w:ascii="Arial" w:eastAsia="宋体" w:hAnsi="Arial" w:cs="Arial"/>
          <w:color w:val="333333"/>
          <w:sz w:val="18"/>
          <w:szCs w:val="18"/>
        </w:rPr>
        <w:t>be disrupted if our employees working in our fabs and factories contract the virus. We expect continued strength from cloud service providers and communications service providers in the second quarter of 2020, and anticipate enterprise and government deman</w:t>
      </w:r>
      <w:r>
        <w:rPr>
          <w:rFonts w:ascii="Arial" w:eastAsia="宋体" w:hAnsi="Arial" w:cs="Arial"/>
          <w:color w:val="333333"/>
          <w:sz w:val="18"/>
          <w:szCs w:val="18"/>
        </w:rPr>
        <w:t>d to weaken in the second half of 2020. We also expect lower demand in IOTG and Mobileye for the rest of the year. As global GDP estimates are revised down, we expect PC TAM to decline in the second half of the year. We remain focused on cash flow manageme</w:t>
      </w:r>
      <w:r>
        <w:rPr>
          <w:rFonts w:ascii="Arial" w:eastAsia="宋体" w:hAnsi="Arial" w:cs="Arial"/>
          <w:color w:val="333333"/>
          <w:sz w:val="18"/>
          <w:szCs w:val="18"/>
        </w:rPr>
        <w:t>nt, including careful management of operating expenses, capital expenditures, and working capital.</w:t>
      </w:r>
    </w:p>
    <w:p w14:paraId="3750D771"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8"/>
        <w:gridCol w:w="2160"/>
        <w:gridCol w:w="3738"/>
      </w:tblGrid>
      <w:tr w:rsidR="002541AD" w14:paraId="3750D773" w14:textId="77777777">
        <w:tc>
          <w:tcPr>
            <w:tcW w:w="0" w:type="auto"/>
            <w:gridSpan w:val="3"/>
            <w:shd w:val="clear" w:color="auto" w:fill="auto"/>
            <w:vAlign w:val="center"/>
          </w:tcPr>
          <w:p w14:paraId="3750D772" w14:textId="77777777" w:rsidR="002541AD" w:rsidRDefault="002541AD">
            <w:pPr>
              <w:rPr>
                <w:rFonts w:ascii="Times New Roman" w:hAnsi="Times New Roman"/>
                <w:sz w:val="20"/>
                <w:szCs w:val="20"/>
              </w:rPr>
            </w:pPr>
          </w:p>
        </w:tc>
      </w:tr>
      <w:tr w:rsidR="002541AD" w14:paraId="3750D777" w14:textId="77777777">
        <w:tc>
          <w:tcPr>
            <w:tcW w:w="1450" w:type="pct"/>
            <w:shd w:val="clear" w:color="auto" w:fill="auto"/>
            <w:vAlign w:val="center"/>
          </w:tcPr>
          <w:p w14:paraId="3750D774" w14:textId="77777777" w:rsidR="002541AD" w:rsidRDefault="002541AD">
            <w:pPr>
              <w:rPr>
                <w:rFonts w:ascii="Times New Roman" w:hAnsi="Times New Roman"/>
                <w:sz w:val="20"/>
                <w:szCs w:val="20"/>
              </w:rPr>
            </w:pPr>
          </w:p>
        </w:tc>
        <w:tc>
          <w:tcPr>
            <w:tcW w:w="1300" w:type="pct"/>
            <w:shd w:val="clear" w:color="auto" w:fill="auto"/>
            <w:vAlign w:val="center"/>
          </w:tcPr>
          <w:p w14:paraId="3750D775" w14:textId="77777777" w:rsidR="002541AD" w:rsidRDefault="002541AD">
            <w:pPr>
              <w:rPr>
                <w:rFonts w:ascii="Times New Roman" w:hAnsi="Times New Roman"/>
                <w:sz w:val="20"/>
                <w:szCs w:val="20"/>
              </w:rPr>
            </w:pPr>
          </w:p>
        </w:tc>
        <w:tc>
          <w:tcPr>
            <w:tcW w:w="2250" w:type="pct"/>
            <w:shd w:val="clear" w:color="auto" w:fill="auto"/>
            <w:vAlign w:val="center"/>
          </w:tcPr>
          <w:p w14:paraId="3750D776" w14:textId="77777777" w:rsidR="002541AD" w:rsidRDefault="002541AD">
            <w:pPr>
              <w:rPr>
                <w:rFonts w:ascii="Times New Roman" w:hAnsi="Times New Roman"/>
                <w:sz w:val="20"/>
                <w:szCs w:val="20"/>
              </w:rPr>
            </w:pPr>
          </w:p>
        </w:tc>
      </w:tr>
      <w:tr w:rsidR="002541AD" w14:paraId="3750D77B"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D778"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42" wp14:editId="3750F843">
                  <wp:extent cx="304800" cy="304800"/>
                  <wp:effectExtent l="0" t="0" r="0" b="0"/>
                  <wp:docPr id="45" name="图片 43"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3"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OUR PANDEMIC RESPONSE</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77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77A"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4</w:t>
            </w:r>
          </w:p>
        </w:tc>
      </w:tr>
    </w:tbl>
    <w:p w14:paraId="3750D77C" w14:textId="77777777" w:rsidR="002541AD" w:rsidRDefault="00901AA6">
      <w:r>
        <w:pict w14:anchorId="3750F844">
          <v:rect id="_x0000_i1030" style="width:415.3pt;height:1.5pt" o:hralign="center" o:hrstd="t" o:hr="t" fillcolor="#a0a0a0" stroked="f"/>
        </w:pict>
      </w:r>
    </w:p>
    <w:p w14:paraId="3750D77D" w14:textId="77777777" w:rsidR="002541AD" w:rsidRDefault="00901AA6">
      <w:pPr>
        <w:spacing w:line="288" w:lineRule="auto"/>
        <w:jc w:val="right"/>
        <w:rPr>
          <w:rFonts w:ascii="Times New Roman" w:hAnsi="Times New Roman"/>
          <w:sz w:val="16"/>
          <w:szCs w:val="16"/>
        </w:rPr>
      </w:pPr>
      <w:hyperlink r:id="rId33" w:anchor="s2CABEAF4222C52B4A34547BF538A8C27" w:history="1">
        <w:r>
          <w:rPr>
            <w:rStyle w:val="a5"/>
            <w:rFonts w:ascii="Arial" w:eastAsia="宋体" w:hAnsi="Arial" w:cs="Arial"/>
            <w:b/>
            <w:bCs/>
            <w:sz w:val="16"/>
            <w:szCs w:val="16"/>
          </w:rPr>
          <w:t>Table of Contents</w:t>
        </w:r>
      </w:hyperlink>
    </w:p>
    <w:p w14:paraId="3750D77E" w14:textId="77777777" w:rsidR="002541AD" w:rsidRDefault="002541AD">
      <w:pPr>
        <w:spacing w:line="288" w:lineRule="auto"/>
        <w:jc w:val="right"/>
        <w:rPr>
          <w:rFonts w:ascii="Times New Roman" w:hAnsi="Times New Roman"/>
          <w:sz w:val="18"/>
          <w:szCs w:val="18"/>
        </w:rPr>
      </w:pPr>
    </w:p>
    <w:p w14:paraId="3750D77F"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2541AD" w14:paraId="3750D781" w14:textId="77777777">
        <w:tc>
          <w:tcPr>
            <w:tcW w:w="0" w:type="auto"/>
            <w:shd w:val="clear" w:color="auto" w:fill="auto"/>
            <w:vAlign w:val="center"/>
          </w:tcPr>
          <w:p w14:paraId="3750D780" w14:textId="77777777" w:rsidR="002541AD" w:rsidRDefault="002541AD">
            <w:pPr>
              <w:rPr>
                <w:rFonts w:ascii="Times New Roman" w:hAnsi="Times New Roman"/>
                <w:sz w:val="20"/>
                <w:szCs w:val="20"/>
              </w:rPr>
            </w:pPr>
          </w:p>
        </w:tc>
      </w:tr>
      <w:tr w:rsidR="002541AD" w14:paraId="3750D783" w14:textId="77777777">
        <w:tc>
          <w:tcPr>
            <w:tcW w:w="5000" w:type="pct"/>
            <w:shd w:val="clear" w:color="auto" w:fill="auto"/>
            <w:vAlign w:val="center"/>
          </w:tcPr>
          <w:p w14:paraId="3750D782" w14:textId="77777777" w:rsidR="002541AD" w:rsidRDefault="002541AD">
            <w:pPr>
              <w:rPr>
                <w:rFonts w:ascii="Times New Roman" w:hAnsi="Times New Roman"/>
                <w:sz w:val="20"/>
                <w:szCs w:val="20"/>
              </w:rPr>
            </w:pPr>
          </w:p>
        </w:tc>
      </w:tr>
      <w:tr w:rsidR="002541AD" w14:paraId="3750D785" w14:textId="77777777">
        <w:tc>
          <w:tcPr>
            <w:tcW w:w="0" w:type="auto"/>
            <w:shd w:val="clear" w:color="auto" w:fill="0071C5"/>
            <w:tcMar>
              <w:top w:w="40" w:type="dxa"/>
              <w:left w:w="40" w:type="dxa"/>
              <w:bottom w:w="40" w:type="dxa"/>
              <w:right w:w="40" w:type="dxa"/>
            </w:tcMar>
            <w:vAlign w:val="bottom"/>
          </w:tcPr>
          <w:p w14:paraId="3750D784"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rPr>
              <w:t>A QUARTER IN REVIEW</w:t>
            </w:r>
          </w:p>
        </w:tc>
      </w:tr>
    </w:tbl>
    <w:p w14:paraId="3750D786"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Total revenue of $19.8 billion was up $3.8 </w:t>
      </w:r>
      <w:r>
        <w:rPr>
          <w:rFonts w:ascii="Arial" w:eastAsia="宋体" w:hAnsi="Arial" w:cs="Arial"/>
          <w:color w:val="333333"/>
          <w:sz w:val="18"/>
          <w:szCs w:val="18"/>
        </w:rPr>
        <w:t>billion year over year as our data-centric businesses and PC-centric business grew by 34% and 14% respectively. Data-centric revenue was up, driven by growth across all DCG business market segments, strong mix of high-performance Intel</w:t>
      </w:r>
      <w:r>
        <w:rPr>
          <w:rFonts w:ascii="Arial" w:eastAsia="宋体" w:hAnsi="Arial" w:cs="Arial"/>
          <w:color w:val="333333"/>
          <w:sz w:val="12"/>
          <w:szCs w:val="12"/>
        </w:rPr>
        <w:t>®</w:t>
      </w:r>
      <w:r>
        <w:rPr>
          <w:rFonts w:ascii="Arial" w:eastAsia="宋体" w:hAnsi="Arial" w:cs="Arial"/>
          <w:color w:val="333333"/>
          <w:sz w:val="18"/>
          <w:szCs w:val="18"/>
        </w:rPr>
        <w:t xml:space="preserve"> Xeon</w:t>
      </w:r>
      <w:r>
        <w:rPr>
          <w:rFonts w:ascii="Arial" w:eastAsia="宋体" w:hAnsi="Arial" w:cs="Arial"/>
          <w:color w:val="333333"/>
          <w:sz w:val="12"/>
          <w:szCs w:val="12"/>
        </w:rPr>
        <w:t>®</w:t>
      </w:r>
      <w:r>
        <w:rPr>
          <w:rFonts w:ascii="Arial" w:eastAsia="宋体" w:hAnsi="Arial" w:cs="Arial"/>
          <w:color w:val="333333"/>
          <w:sz w:val="18"/>
          <w:szCs w:val="18"/>
        </w:rPr>
        <w:t xml:space="preserve"> processors, N</w:t>
      </w:r>
      <w:r>
        <w:rPr>
          <w:rFonts w:ascii="Arial" w:eastAsia="宋体" w:hAnsi="Arial" w:cs="Arial"/>
          <w:color w:val="333333"/>
          <w:sz w:val="18"/>
          <w:szCs w:val="18"/>
        </w:rPr>
        <w:t>SG bit growth, and improved NAND pricing. Our PC-centric business was up, driven by notebook platform</w:t>
      </w:r>
      <w:r>
        <w:rPr>
          <w:rFonts w:ascii="Arial" w:eastAsia="宋体" w:hAnsi="Arial" w:cs="Arial"/>
          <w:color w:val="333333"/>
          <w:sz w:val="12"/>
          <w:szCs w:val="12"/>
        </w:rPr>
        <w:t>1</w:t>
      </w:r>
      <w:r>
        <w:rPr>
          <w:rFonts w:ascii="Arial" w:eastAsia="宋体" w:hAnsi="Arial" w:cs="Arial"/>
          <w:color w:val="333333"/>
          <w:sz w:val="18"/>
          <w:szCs w:val="18"/>
        </w:rPr>
        <w:t xml:space="preserve"> volume strength and higher modem sales. Increased platform unit sales, ASP strength, and lower period charges resulted in higher gross margins and operat</w:t>
      </w:r>
      <w:r>
        <w:rPr>
          <w:rFonts w:ascii="Arial" w:eastAsia="宋体" w:hAnsi="Arial" w:cs="Arial"/>
          <w:color w:val="333333"/>
          <w:sz w:val="18"/>
          <w:szCs w:val="18"/>
        </w:rPr>
        <w:t xml:space="preserve">ing income, partially offset by higher platform unit cost. In the first three months we generated $6.2 billion of cash flow from operations and returned $5.6 billion to stockholders, including $1.4 billion in dividends and $4.2 billion in buybacks. </w:t>
      </w:r>
    </w:p>
    <w:tbl>
      <w:tblPr>
        <w:tblW w:w="14640" w:type="dxa"/>
        <w:tblCellMar>
          <w:left w:w="0" w:type="dxa"/>
          <w:right w:w="0" w:type="dxa"/>
        </w:tblCellMar>
        <w:tblLook w:val="04A0" w:firstRow="1" w:lastRow="0" w:firstColumn="1" w:lastColumn="0" w:noHBand="0" w:noVBand="1"/>
      </w:tblPr>
      <w:tblGrid>
        <w:gridCol w:w="3553"/>
        <w:gridCol w:w="130"/>
        <w:gridCol w:w="3592"/>
        <w:gridCol w:w="130"/>
        <w:gridCol w:w="3553"/>
        <w:gridCol w:w="130"/>
        <w:gridCol w:w="3552"/>
      </w:tblGrid>
      <w:tr w:rsidR="002541AD" w14:paraId="3750D788" w14:textId="77777777">
        <w:tc>
          <w:tcPr>
            <w:tcW w:w="0" w:type="auto"/>
            <w:gridSpan w:val="7"/>
            <w:shd w:val="clear" w:color="auto" w:fill="auto"/>
            <w:vAlign w:val="center"/>
          </w:tcPr>
          <w:p w14:paraId="3750D787" w14:textId="77777777" w:rsidR="002541AD" w:rsidRDefault="002541AD">
            <w:pPr>
              <w:rPr>
                <w:rFonts w:ascii="Times New Roman" w:hAnsi="Times New Roman"/>
                <w:sz w:val="20"/>
                <w:szCs w:val="20"/>
              </w:rPr>
            </w:pPr>
          </w:p>
        </w:tc>
      </w:tr>
      <w:tr w:rsidR="002541AD" w14:paraId="3750D790" w14:textId="77777777">
        <w:tc>
          <w:tcPr>
            <w:tcW w:w="3560" w:type="dxa"/>
            <w:shd w:val="clear" w:color="auto" w:fill="auto"/>
            <w:vAlign w:val="center"/>
          </w:tcPr>
          <w:p w14:paraId="3750D789" w14:textId="77777777" w:rsidR="002541AD" w:rsidRDefault="002541AD">
            <w:pPr>
              <w:rPr>
                <w:rFonts w:ascii="Times New Roman" w:hAnsi="Times New Roman"/>
                <w:sz w:val="20"/>
                <w:szCs w:val="20"/>
              </w:rPr>
            </w:pPr>
          </w:p>
        </w:tc>
        <w:tc>
          <w:tcPr>
            <w:tcW w:w="100" w:type="dxa"/>
            <w:shd w:val="clear" w:color="auto" w:fill="auto"/>
            <w:vAlign w:val="center"/>
          </w:tcPr>
          <w:p w14:paraId="3750D78A" w14:textId="77777777" w:rsidR="002541AD" w:rsidRDefault="002541AD">
            <w:pPr>
              <w:rPr>
                <w:rFonts w:ascii="Times New Roman" w:hAnsi="Times New Roman"/>
                <w:sz w:val="20"/>
                <w:szCs w:val="20"/>
              </w:rPr>
            </w:pPr>
          </w:p>
        </w:tc>
        <w:tc>
          <w:tcPr>
            <w:tcW w:w="3600" w:type="dxa"/>
            <w:shd w:val="clear" w:color="auto" w:fill="auto"/>
            <w:vAlign w:val="center"/>
          </w:tcPr>
          <w:p w14:paraId="3750D78B" w14:textId="77777777" w:rsidR="002541AD" w:rsidRDefault="002541AD">
            <w:pPr>
              <w:rPr>
                <w:rFonts w:ascii="Times New Roman" w:hAnsi="Times New Roman"/>
                <w:sz w:val="20"/>
                <w:szCs w:val="20"/>
              </w:rPr>
            </w:pPr>
          </w:p>
        </w:tc>
        <w:tc>
          <w:tcPr>
            <w:tcW w:w="100" w:type="dxa"/>
            <w:shd w:val="clear" w:color="auto" w:fill="auto"/>
            <w:vAlign w:val="center"/>
          </w:tcPr>
          <w:p w14:paraId="3750D78C" w14:textId="77777777" w:rsidR="002541AD" w:rsidRDefault="002541AD">
            <w:pPr>
              <w:rPr>
                <w:rFonts w:ascii="Times New Roman" w:hAnsi="Times New Roman"/>
                <w:sz w:val="20"/>
                <w:szCs w:val="20"/>
              </w:rPr>
            </w:pPr>
          </w:p>
        </w:tc>
        <w:tc>
          <w:tcPr>
            <w:tcW w:w="3560" w:type="dxa"/>
            <w:shd w:val="clear" w:color="auto" w:fill="auto"/>
            <w:vAlign w:val="center"/>
          </w:tcPr>
          <w:p w14:paraId="3750D78D" w14:textId="77777777" w:rsidR="002541AD" w:rsidRDefault="002541AD">
            <w:pPr>
              <w:rPr>
                <w:rFonts w:ascii="Times New Roman" w:hAnsi="Times New Roman"/>
                <w:sz w:val="20"/>
                <w:szCs w:val="20"/>
              </w:rPr>
            </w:pPr>
          </w:p>
        </w:tc>
        <w:tc>
          <w:tcPr>
            <w:tcW w:w="100" w:type="dxa"/>
            <w:shd w:val="clear" w:color="auto" w:fill="auto"/>
            <w:vAlign w:val="center"/>
          </w:tcPr>
          <w:p w14:paraId="3750D78E" w14:textId="77777777" w:rsidR="002541AD" w:rsidRDefault="002541AD">
            <w:pPr>
              <w:rPr>
                <w:rFonts w:ascii="Times New Roman" w:hAnsi="Times New Roman"/>
                <w:sz w:val="20"/>
                <w:szCs w:val="20"/>
              </w:rPr>
            </w:pPr>
          </w:p>
        </w:tc>
        <w:tc>
          <w:tcPr>
            <w:tcW w:w="3560" w:type="dxa"/>
            <w:shd w:val="clear" w:color="auto" w:fill="auto"/>
            <w:vAlign w:val="center"/>
          </w:tcPr>
          <w:p w14:paraId="3750D78F" w14:textId="77777777" w:rsidR="002541AD" w:rsidRDefault="002541AD">
            <w:pPr>
              <w:rPr>
                <w:rFonts w:ascii="Times New Roman" w:hAnsi="Times New Roman"/>
                <w:sz w:val="20"/>
                <w:szCs w:val="20"/>
              </w:rPr>
            </w:pPr>
          </w:p>
        </w:tc>
      </w:tr>
      <w:tr w:rsidR="002541AD" w14:paraId="3750D798" w14:textId="77777777">
        <w:tc>
          <w:tcPr>
            <w:tcW w:w="0" w:type="auto"/>
            <w:shd w:val="clear" w:color="auto" w:fill="003C71"/>
            <w:tcMar>
              <w:top w:w="40" w:type="dxa"/>
              <w:left w:w="40" w:type="dxa"/>
              <w:bottom w:w="40" w:type="dxa"/>
              <w:right w:w="40" w:type="dxa"/>
            </w:tcMar>
            <w:vAlign w:val="bottom"/>
          </w:tcPr>
          <w:p w14:paraId="3750D791" w14:textId="77777777" w:rsidR="002541AD" w:rsidRDefault="00901AA6">
            <w:pPr>
              <w:textAlignment w:val="bottom"/>
              <w:rPr>
                <w:rFonts w:ascii="Times New Roman" w:hAnsi="Times New Roman"/>
                <w:sz w:val="20"/>
                <w:szCs w:val="20"/>
              </w:rPr>
            </w:pPr>
            <w:r>
              <w:rPr>
                <w:rFonts w:ascii="Arial" w:eastAsia="宋体" w:hAnsi="Arial" w:cs="Arial"/>
                <w:b/>
                <w:bCs/>
                <w:color w:val="FFFFFF"/>
                <w:sz w:val="20"/>
                <w:szCs w:val="20"/>
              </w:rPr>
              <w:t>REVENUE</w:t>
            </w:r>
          </w:p>
        </w:tc>
        <w:tc>
          <w:tcPr>
            <w:tcW w:w="0" w:type="auto"/>
            <w:shd w:val="clear" w:color="auto" w:fill="auto"/>
            <w:tcMar>
              <w:top w:w="40" w:type="dxa"/>
              <w:left w:w="40" w:type="dxa"/>
              <w:bottom w:w="40" w:type="dxa"/>
              <w:right w:w="40" w:type="dxa"/>
            </w:tcMar>
            <w:vAlign w:val="bottom"/>
          </w:tcPr>
          <w:p w14:paraId="3750D79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0071C5"/>
            <w:tcMar>
              <w:top w:w="40" w:type="dxa"/>
              <w:left w:w="40" w:type="dxa"/>
              <w:bottom w:w="40" w:type="dxa"/>
              <w:right w:w="40" w:type="dxa"/>
            </w:tcMar>
            <w:vAlign w:val="bottom"/>
          </w:tcPr>
          <w:p w14:paraId="3750D793" w14:textId="77777777" w:rsidR="002541AD" w:rsidRDefault="00901AA6">
            <w:pPr>
              <w:textAlignment w:val="bottom"/>
              <w:rPr>
                <w:rFonts w:ascii="Times New Roman" w:hAnsi="Times New Roman"/>
                <w:sz w:val="20"/>
                <w:szCs w:val="20"/>
              </w:rPr>
            </w:pPr>
            <w:r>
              <w:rPr>
                <w:rFonts w:ascii="Arial" w:eastAsia="宋体" w:hAnsi="Arial" w:cs="Arial"/>
                <w:b/>
                <w:bCs/>
                <w:color w:val="FFFFFF"/>
                <w:sz w:val="20"/>
                <w:szCs w:val="20"/>
              </w:rPr>
              <w:t>OPERATING INCOME</w:t>
            </w:r>
          </w:p>
        </w:tc>
        <w:tc>
          <w:tcPr>
            <w:tcW w:w="0" w:type="auto"/>
            <w:shd w:val="clear" w:color="auto" w:fill="auto"/>
            <w:tcMar>
              <w:top w:w="40" w:type="dxa"/>
              <w:left w:w="40" w:type="dxa"/>
              <w:bottom w:w="40" w:type="dxa"/>
              <w:right w:w="40" w:type="dxa"/>
            </w:tcMar>
            <w:vAlign w:val="bottom"/>
          </w:tcPr>
          <w:p w14:paraId="3750D79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00AEEF"/>
            <w:tcMar>
              <w:top w:w="40" w:type="dxa"/>
              <w:left w:w="40" w:type="dxa"/>
              <w:bottom w:w="40" w:type="dxa"/>
              <w:right w:w="40" w:type="dxa"/>
            </w:tcMar>
            <w:vAlign w:val="bottom"/>
          </w:tcPr>
          <w:p w14:paraId="3750D795" w14:textId="77777777" w:rsidR="002541AD" w:rsidRDefault="00901AA6">
            <w:pPr>
              <w:textAlignment w:val="bottom"/>
              <w:rPr>
                <w:rFonts w:ascii="Times New Roman" w:hAnsi="Times New Roman"/>
                <w:sz w:val="20"/>
                <w:szCs w:val="20"/>
              </w:rPr>
            </w:pPr>
            <w:r>
              <w:rPr>
                <w:rFonts w:ascii="Arial" w:eastAsia="宋体" w:hAnsi="Arial" w:cs="Arial"/>
                <w:b/>
                <w:bCs/>
                <w:color w:val="FFFFFF"/>
                <w:sz w:val="20"/>
                <w:szCs w:val="20"/>
              </w:rPr>
              <w:t>DILUTED EPS</w:t>
            </w:r>
          </w:p>
        </w:tc>
        <w:tc>
          <w:tcPr>
            <w:tcW w:w="0" w:type="auto"/>
            <w:shd w:val="clear" w:color="auto" w:fill="auto"/>
            <w:tcMar>
              <w:top w:w="40" w:type="dxa"/>
              <w:left w:w="40" w:type="dxa"/>
              <w:bottom w:w="40" w:type="dxa"/>
              <w:right w:w="40" w:type="dxa"/>
            </w:tcMar>
            <w:vAlign w:val="bottom"/>
          </w:tcPr>
          <w:p w14:paraId="3750D79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CACAC"/>
            <w:tcMar>
              <w:top w:w="40" w:type="dxa"/>
              <w:left w:w="40" w:type="dxa"/>
              <w:bottom w:w="40" w:type="dxa"/>
              <w:right w:w="40" w:type="dxa"/>
            </w:tcMar>
            <w:vAlign w:val="bottom"/>
          </w:tcPr>
          <w:p w14:paraId="3750D797" w14:textId="77777777" w:rsidR="002541AD" w:rsidRDefault="00901AA6">
            <w:pPr>
              <w:textAlignment w:val="bottom"/>
              <w:rPr>
                <w:rFonts w:ascii="Times New Roman" w:hAnsi="Times New Roman"/>
                <w:sz w:val="20"/>
                <w:szCs w:val="20"/>
              </w:rPr>
            </w:pPr>
            <w:r>
              <w:rPr>
                <w:rFonts w:ascii="Arial" w:eastAsia="宋体" w:hAnsi="Arial" w:cs="Arial"/>
                <w:b/>
                <w:bCs/>
                <w:color w:val="FFFFFF"/>
                <w:sz w:val="20"/>
                <w:szCs w:val="20"/>
              </w:rPr>
              <w:t>CASH FLOWS</w:t>
            </w:r>
          </w:p>
        </w:tc>
      </w:tr>
      <w:tr w:rsidR="002541AD" w14:paraId="3750D7A2" w14:textId="77777777">
        <w:tc>
          <w:tcPr>
            <w:tcW w:w="0" w:type="auto"/>
            <w:shd w:val="clear" w:color="auto" w:fill="auto"/>
            <w:tcMar>
              <w:top w:w="40" w:type="dxa"/>
              <w:left w:w="40" w:type="dxa"/>
              <w:bottom w:w="40" w:type="dxa"/>
              <w:right w:w="40" w:type="dxa"/>
            </w:tcMar>
          </w:tcPr>
          <w:p w14:paraId="3750D799" w14:textId="77777777" w:rsidR="002541AD" w:rsidRDefault="00901AA6">
            <w:pPr>
              <w:textAlignment w:val="top"/>
              <w:rPr>
                <w:rFonts w:ascii="Times New Roman" w:hAnsi="Times New Roman"/>
                <w:sz w:val="18"/>
                <w:szCs w:val="18"/>
              </w:rPr>
            </w:pPr>
            <w:r>
              <w:rPr>
                <w:rFonts w:ascii="Arial" w:eastAsia="宋体" w:hAnsi="Arial" w:cs="Arial"/>
                <w:color w:val="003D72"/>
                <w:sz w:val="18"/>
                <w:szCs w:val="18"/>
              </w:rPr>
              <w:t>■</w:t>
            </w:r>
            <w:r>
              <w:rPr>
                <w:rFonts w:ascii="Arial" w:eastAsia="宋体" w:hAnsi="Arial" w:cs="Arial"/>
                <w:color w:val="003C71"/>
                <w:sz w:val="18"/>
                <w:szCs w:val="18"/>
              </w:rPr>
              <w:t> </w:t>
            </w:r>
            <w:r>
              <w:rPr>
                <w:rFonts w:ascii="Arial" w:eastAsia="宋体" w:hAnsi="Arial" w:cs="Arial"/>
                <w:color w:val="333333"/>
                <w:sz w:val="16"/>
                <w:szCs w:val="16"/>
              </w:rPr>
              <w:t xml:space="preserve">PC-CENTRIC $B </w:t>
            </w:r>
            <w:r>
              <w:rPr>
                <w:rFonts w:ascii="Arial" w:eastAsia="宋体" w:hAnsi="Arial" w:cs="Arial"/>
                <w:color w:val="333333"/>
                <w:sz w:val="18"/>
                <w:szCs w:val="18"/>
              </w:rPr>
              <w:t> </w:t>
            </w:r>
          </w:p>
          <w:p w14:paraId="3750D79A" w14:textId="77777777" w:rsidR="002541AD" w:rsidRDefault="00901AA6">
            <w:pPr>
              <w:textAlignment w:val="top"/>
              <w:rPr>
                <w:rFonts w:ascii="Times New Roman" w:hAnsi="Times New Roman"/>
                <w:sz w:val="18"/>
                <w:szCs w:val="18"/>
              </w:rPr>
            </w:pPr>
            <w:r>
              <w:rPr>
                <w:rFonts w:ascii="Arial" w:eastAsia="宋体" w:hAnsi="Arial" w:cs="Arial"/>
                <w:color w:val="00AEEF"/>
                <w:sz w:val="18"/>
                <w:szCs w:val="18"/>
              </w:rPr>
              <w:t>■</w:t>
            </w:r>
            <w:r>
              <w:rPr>
                <w:rFonts w:ascii="Arial" w:eastAsia="宋体" w:hAnsi="Arial" w:cs="Arial"/>
                <w:color w:val="003C71"/>
                <w:sz w:val="18"/>
                <w:szCs w:val="18"/>
              </w:rPr>
              <w:t> </w:t>
            </w:r>
            <w:r>
              <w:rPr>
                <w:rFonts w:ascii="Arial" w:eastAsia="宋体" w:hAnsi="Arial" w:cs="Arial"/>
                <w:color w:val="333333"/>
                <w:sz w:val="16"/>
                <w:szCs w:val="16"/>
              </w:rPr>
              <w:t>DATA-CENTRIC $B</w:t>
            </w:r>
          </w:p>
        </w:tc>
        <w:tc>
          <w:tcPr>
            <w:tcW w:w="0" w:type="auto"/>
            <w:shd w:val="clear" w:color="auto" w:fill="auto"/>
            <w:tcMar>
              <w:top w:w="40" w:type="dxa"/>
              <w:left w:w="40" w:type="dxa"/>
              <w:bottom w:w="40" w:type="dxa"/>
              <w:right w:w="40" w:type="dxa"/>
            </w:tcMar>
            <w:vAlign w:val="bottom"/>
          </w:tcPr>
          <w:p w14:paraId="3750D79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D79C" w14:textId="77777777" w:rsidR="002541AD" w:rsidRDefault="00901AA6">
            <w:pPr>
              <w:textAlignment w:val="top"/>
              <w:rPr>
                <w:rFonts w:ascii="Times New Roman" w:hAnsi="Times New Roman"/>
                <w:sz w:val="18"/>
                <w:szCs w:val="18"/>
              </w:rPr>
            </w:pPr>
            <w:r>
              <w:rPr>
                <w:rFonts w:ascii="Arial" w:eastAsia="宋体" w:hAnsi="Arial" w:cs="Arial"/>
                <w:color w:val="003C71"/>
                <w:sz w:val="18"/>
                <w:szCs w:val="18"/>
              </w:rPr>
              <w:t xml:space="preserve">■ </w:t>
            </w:r>
            <w:r>
              <w:rPr>
                <w:rFonts w:ascii="Arial" w:eastAsia="宋体" w:hAnsi="Arial" w:cs="Arial"/>
                <w:color w:val="333333"/>
                <w:sz w:val="16"/>
                <w:szCs w:val="16"/>
              </w:rPr>
              <w:t>GAAP $B</w:t>
            </w:r>
            <w:r>
              <w:rPr>
                <w:rFonts w:ascii="Arial" w:eastAsia="宋体" w:hAnsi="Arial" w:cs="Arial"/>
                <w:color w:val="333333"/>
                <w:sz w:val="18"/>
                <w:szCs w:val="18"/>
              </w:rPr>
              <w:t> </w:t>
            </w:r>
            <w:r>
              <w:rPr>
                <w:rFonts w:ascii="Arial" w:eastAsia="宋体" w:hAnsi="Arial" w:cs="Arial"/>
                <w:color w:val="000000"/>
                <w:sz w:val="18"/>
                <w:szCs w:val="18"/>
              </w:rPr>
              <w:t> </w:t>
            </w:r>
            <w:r>
              <w:rPr>
                <w:rFonts w:ascii="Arial" w:eastAsia="宋体" w:hAnsi="Arial" w:cs="Arial"/>
                <w:color w:val="00AEEF"/>
                <w:sz w:val="18"/>
                <w:szCs w:val="18"/>
              </w:rPr>
              <w:t>■</w:t>
            </w:r>
            <w:r>
              <w:rPr>
                <w:rFonts w:ascii="Arial" w:eastAsia="宋体" w:hAnsi="Arial" w:cs="Arial"/>
                <w:color w:val="003C71"/>
                <w:sz w:val="18"/>
                <w:szCs w:val="18"/>
              </w:rPr>
              <w:t> </w:t>
            </w:r>
            <w:r>
              <w:rPr>
                <w:rFonts w:ascii="Arial" w:eastAsia="宋体" w:hAnsi="Arial" w:cs="Arial"/>
                <w:color w:val="333333"/>
                <w:sz w:val="16"/>
                <w:szCs w:val="16"/>
              </w:rPr>
              <w:t>NON-GAAP $B</w:t>
            </w:r>
          </w:p>
        </w:tc>
        <w:tc>
          <w:tcPr>
            <w:tcW w:w="0" w:type="auto"/>
            <w:shd w:val="clear" w:color="auto" w:fill="auto"/>
            <w:tcMar>
              <w:top w:w="40" w:type="dxa"/>
              <w:left w:w="40" w:type="dxa"/>
              <w:bottom w:w="40" w:type="dxa"/>
              <w:right w:w="40" w:type="dxa"/>
            </w:tcMar>
            <w:vAlign w:val="bottom"/>
          </w:tcPr>
          <w:p w14:paraId="3750D79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D79E" w14:textId="77777777" w:rsidR="002541AD" w:rsidRDefault="00901AA6">
            <w:pPr>
              <w:textAlignment w:val="top"/>
              <w:rPr>
                <w:rFonts w:ascii="Times New Roman" w:hAnsi="Times New Roman"/>
                <w:sz w:val="18"/>
                <w:szCs w:val="18"/>
              </w:rPr>
            </w:pPr>
            <w:r>
              <w:rPr>
                <w:rFonts w:ascii="Arial" w:eastAsia="宋体" w:hAnsi="Arial" w:cs="Arial"/>
                <w:color w:val="003C71"/>
                <w:sz w:val="18"/>
                <w:szCs w:val="18"/>
              </w:rPr>
              <w:t xml:space="preserve">■ </w:t>
            </w:r>
            <w:r>
              <w:rPr>
                <w:rFonts w:ascii="Arial" w:eastAsia="宋体" w:hAnsi="Arial" w:cs="Arial"/>
                <w:color w:val="333333"/>
                <w:sz w:val="16"/>
                <w:szCs w:val="16"/>
              </w:rPr>
              <w:t>GAAP</w:t>
            </w:r>
            <w:r>
              <w:rPr>
                <w:rFonts w:ascii="Arial" w:eastAsia="宋体" w:hAnsi="Arial" w:cs="Arial"/>
                <w:color w:val="000000"/>
                <w:sz w:val="18"/>
                <w:szCs w:val="18"/>
              </w:rPr>
              <w:t>  </w:t>
            </w:r>
            <w:r>
              <w:rPr>
                <w:rFonts w:ascii="Arial" w:eastAsia="宋体" w:hAnsi="Arial" w:cs="Arial"/>
                <w:color w:val="00AEEF"/>
                <w:sz w:val="18"/>
                <w:szCs w:val="18"/>
              </w:rPr>
              <w:t>■</w:t>
            </w:r>
            <w:r>
              <w:rPr>
                <w:rFonts w:ascii="Arial" w:eastAsia="宋体" w:hAnsi="Arial" w:cs="Arial"/>
                <w:color w:val="003C71"/>
                <w:sz w:val="18"/>
                <w:szCs w:val="18"/>
              </w:rPr>
              <w:t> </w:t>
            </w:r>
            <w:r>
              <w:rPr>
                <w:rFonts w:ascii="Arial" w:eastAsia="宋体" w:hAnsi="Arial" w:cs="Arial"/>
                <w:color w:val="333333"/>
                <w:sz w:val="16"/>
                <w:szCs w:val="16"/>
              </w:rPr>
              <w:t>NON-GAAP</w:t>
            </w:r>
          </w:p>
        </w:tc>
        <w:tc>
          <w:tcPr>
            <w:tcW w:w="0" w:type="auto"/>
            <w:shd w:val="clear" w:color="auto" w:fill="auto"/>
            <w:tcMar>
              <w:top w:w="40" w:type="dxa"/>
              <w:left w:w="40" w:type="dxa"/>
              <w:bottom w:w="40" w:type="dxa"/>
              <w:right w:w="40" w:type="dxa"/>
            </w:tcMar>
            <w:vAlign w:val="bottom"/>
          </w:tcPr>
          <w:p w14:paraId="3750D79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D7A0" w14:textId="77777777" w:rsidR="002541AD" w:rsidRDefault="00901AA6">
            <w:pPr>
              <w:textAlignment w:val="top"/>
              <w:rPr>
                <w:rFonts w:ascii="Times New Roman" w:hAnsi="Times New Roman"/>
                <w:sz w:val="18"/>
                <w:szCs w:val="18"/>
              </w:rPr>
            </w:pPr>
            <w:r>
              <w:rPr>
                <w:rFonts w:ascii="Arial" w:eastAsia="宋体" w:hAnsi="Arial" w:cs="Arial"/>
                <w:color w:val="003D72"/>
                <w:sz w:val="18"/>
                <w:szCs w:val="18"/>
              </w:rPr>
              <w:t>■</w:t>
            </w:r>
            <w:r>
              <w:rPr>
                <w:rFonts w:ascii="Arial" w:eastAsia="宋体" w:hAnsi="Arial" w:cs="Arial"/>
                <w:color w:val="003C71"/>
                <w:sz w:val="18"/>
                <w:szCs w:val="18"/>
              </w:rPr>
              <w:t> </w:t>
            </w:r>
            <w:r>
              <w:rPr>
                <w:rFonts w:ascii="Arial" w:eastAsia="宋体" w:hAnsi="Arial" w:cs="Arial"/>
                <w:color w:val="333333"/>
                <w:sz w:val="16"/>
                <w:szCs w:val="16"/>
              </w:rPr>
              <w:t>OPERATING CASH FLOW</w:t>
            </w:r>
            <w:r>
              <w:rPr>
                <w:rFonts w:ascii="Arial" w:eastAsia="宋体" w:hAnsi="Arial" w:cs="Arial"/>
                <w:color w:val="003C71"/>
                <w:sz w:val="16"/>
                <w:szCs w:val="16"/>
              </w:rPr>
              <w:t> </w:t>
            </w:r>
            <w:r>
              <w:rPr>
                <w:rFonts w:ascii="Arial" w:eastAsia="宋体" w:hAnsi="Arial" w:cs="Arial"/>
                <w:color w:val="333333"/>
                <w:sz w:val="16"/>
                <w:szCs w:val="16"/>
              </w:rPr>
              <w:t>$B</w:t>
            </w:r>
          </w:p>
          <w:p w14:paraId="3750D7A1" w14:textId="77777777" w:rsidR="002541AD" w:rsidRDefault="00901AA6">
            <w:pPr>
              <w:textAlignment w:val="top"/>
              <w:rPr>
                <w:rFonts w:ascii="Times New Roman" w:hAnsi="Times New Roman"/>
                <w:sz w:val="18"/>
                <w:szCs w:val="18"/>
              </w:rPr>
            </w:pPr>
            <w:r>
              <w:rPr>
                <w:rFonts w:ascii="Arial" w:eastAsia="宋体" w:hAnsi="Arial" w:cs="Arial"/>
                <w:color w:val="00AEEF"/>
                <w:sz w:val="18"/>
                <w:szCs w:val="18"/>
              </w:rPr>
              <w:t>■</w:t>
            </w:r>
            <w:r>
              <w:rPr>
                <w:rFonts w:ascii="Arial" w:eastAsia="宋体" w:hAnsi="Arial" w:cs="Arial"/>
                <w:color w:val="003C71"/>
                <w:sz w:val="18"/>
                <w:szCs w:val="18"/>
              </w:rPr>
              <w:t> </w:t>
            </w:r>
            <w:r>
              <w:rPr>
                <w:rFonts w:ascii="Arial" w:eastAsia="宋体" w:hAnsi="Arial" w:cs="Arial"/>
                <w:color w:val="333333"/>
                <w:sz w:val="16"/>
                <w:szCs w:val="16"/>
              </w:rPr>
              <w:t>FREE CASH FLOW $B</w:t>
            </w:r>
          </w:p>
        </w:tc>
      </w:tr>
    </w:tbl>
    <w:p w14:paraId="3750D7A3" w14:textId="77777777" w:rsidR="002541AD" w:rsidRDefault="00901AA6">
      <w:pPr>
        <w:spacing w:line="288" w:lineRule="auto"/>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Viewer11_files/qir_revenue.jpg"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3750F845" wp14:editId="3750F846">
            <wp:extent cx="304800" cy="304800"/>
            <wp:effectExtent l="0" t="0" r="0" b="0"/>
            <wp:docPr id="46" name="图片 4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Viewer11_files/qir_opincome.jpg"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3750F847" wp14:editId="3750F848">
            <wp:extent cx="304800" cy="304800"/>
            <wp:effectExtent l="0" t="0" r="0" b="0"/>
            <wp:docPr id="47" name="图片 4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Viewer11_files/qir_eps.jpg" </w:instrText>
      </w:r>
      <w:r>
        <w:rPr>
          <w:rFonts w:ascii="Times New Roman" w:eastAsia="宋体" w:hAnsi="Times New Roman"/>
          <w:sz w:val="18"/>
          <w:szCs w:val="18"/>
        </w:rPr>
        <w:instrText xml:space="preserve">\*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3750F849" wp14:editId="3750F84A">
            <wp:extent cx="304800" cy="304800"/>
            <wp:effectExtent l="0" t="0" r="0" b="0"/>
            <wp:docPr id="48" name="图片 47"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IMG_2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Viewer11_files/qir_cash.jpg"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3750F84B" wp14:editId="3750F84C">
            <wp:extent cx="304800" cy="304800"/>
            <wp:effectExtent l="0" t="0" r="0" b="0"/>
            <wp:docPr id="49" name="图片 48"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p>
    <w:tbl>
      <w:tblPr>
        <w:tblW w:w="14600" w:type="dxa"/>
        <w:tblCellMar>
          <w:left w:w="0" w:type="dxa"/>
          <w:right w:w="0" w:type="dxa"/>
        </w:tblCellMar>
        <w:tblLook w:val="04A0" w:firstRow="1" w:lastRow="0" w:firstColumn="1" w:lastColumn="0" w:noHBand="0" w:noVBand="1"/>
      </w:tblPr>
      <w:tblGrid>
        <w:gridCol w:w="1521"/>
        <w:gridCol w:w="144"/>
        <w:gridCol w:w="552"/>
        <w:gridCol w:w="130"/>
        <w:gridCol w:w="2131"/>
        <w:gridCol w:w="135"/>
        <w:gridCol w:w="2145"/>
        <w:gridCol w:w="130"/>
        <w:gridCol w:w="2055"/>
        <w:gridCol w:w="158"/>
        <w:gridCol w:w="2118"/>
        <w:gridCol w:w="130"/>
        <w:gridCol w:w="1589"/>
        <w:gridCol w:w="133"/>
        <w:gridCol w:w="1529"/>
      </w:tblGrid>
      <w:tr w:rsidR="002541AD" w14:paraId="3750D7A5" w14:textId="77777777">
        <w:tc>
          <w:tcPr>
            <w:tcW w:w="0" w:type="auto"/>
            <w:gridSpan w:val="15"/>
            <w:shd w:val="clear" w:color="auto" w:fill="auto"/>
            <w:vAlign w:val="center"/>
          </w:tcPr>
          <w:p w14:paraId="3750D7A4" w14:textId="77777777" w:rsidR="002541AD" w:rsidRDefault="002541AD">
            <w:pPr>
              <w:rPr>
                <w:rFonts w:ascii="Times New Roman" w:hAnsi="Times New Roman"/>
                <w:sz w:val="20"/>
                <w:szCs w:val="20"/>
              </w:rPr>
            </w:pPr>
          </w:p>
        </w:tc>
      </w:tr>
      <w:tr w:rsidR="002541AD" w14:paraId="3750D7B5" w14:textId="77777777">
        <w:tc>
          <w:tcPr>
            <w:tcW w:w="1780" w:type="dxa"/>
            <w:shd w:val="clear" w:color="auto" w:fill="auto"/>
            <w:vAlign w:val="center"/>
          </w:tcPr>
          <w:p w14:paraId="3750D7A6" w14:textId="77777777" w:rsidR="002541AD" w:rsidRDefault="002541AD">
            <w:pPr>
              <w:rPr>
                <w:rFonts w:ascii="Times New Roman" w:hAnsi="Times New Roman"/>
                <w:sz w:val="20"/>
                <w:szCs w:val="20"/>
              </w:rPr>
            </w:pPr>
          </w:p>
        </w:tc>
        <w:tc>
          <w:tcPr>
            <w:tcW w:w="100" w:type="dxa"/>
            <w:shd w:val="clear" w:color="auto" w:fill="auto"/>
            <w:vAlign w:val="center"/>
          </w:tcPr>
          <w:p w14:paraId="3750D7A7" w14:textId="77777777" w:rsidR="002541AD" w:rsidRDefault="002541AD">
            <w:pPr>
              <w:rPr>
                <w:rFonts w:ascii="Times New Roman" w:hAnsi="Times New Roman"/>
                <w:sz w:val="20"/>
                <w:szCs w:val="20"/>
              </w:rPr>
            </w:pPr>
          </w:p>
        </w:tc>
        <w:tc>
          <w:tcPr>
            <w:tcW w:w="1600" w:type="dxa"/>
            <w:shd w:val="clear" w:color="auto" w:fill="auto"/>
            <w:vAlign w:val="center"/>
          </w:tcPr>
          <w:p w14:paraId="3750D7A8" w14:textId="77777777" w:rsidR="002541AD" w:rsidRDefault="002541AD">
            <w:pPr>
              <w:rPr>
                <w:rFonts w:ascii="Times New Roman" w:hAnsi="Times New Roman"/>
                <w:sz w:val="20"/>
                <w:szCs w:val="20"/>
              </w:rPr>
            </w:pPr>
          </w:p>
        </w:tc>
        <w:tc>
          <w:tcPr>
            <w:tcW w:w="100" w:type="dxa"/>
            <w:shd w:val="clear" w:color="auto" w:fill="auto"/>
            <w:vAlign w:val="center"/>
          </w:tcPr>
          <w:p w14:paraId="3750D7A9" w14:textId="77777777" w:rsidR="002541AD" w:rsidRDefault="002541AD">
            <w:pPr>
              <w:rPr>
                <w:rFonts w:ascii="Times New Roman" w:hAnsi="Times New Roman"/>
                <w:sz w:val="20"/>
                <w:szCs w:val="20"/>
              </w:rPr>
            </w:pPr>
          </w:p>
        </w:tc>
        <w:tc>
          <w:tcPr>
            <w:tcW w:w="1780" w:type="dxa"/>
            <w:shd w:val="clear" w:color="auto" w:fill="auto"/>
            <w:vAlign w:val="center"/>
          </w:tcPr>
          <w:p w14:paraId="3750D7AA" w14:textId="77777777" w:rsidR="002541AD" w:rsidRDefault="002541AD">
            <w:pPr>
              <w:rPr>
                <w:rFonts w:ascii="Times New Roman" w:hAnsi="Times New Roman"/>
                <w:sz w:val="20"/>
                <w:szCs w:val="20"/>
              </w:rPr>
            </w:pPr>
          </w:p>
        </w:tc>
        <w:tc>
          <w:tcPr>
            <w:tcW w:w="100" w:type="dxa"/>
            <w:shd w:val="clear" w:color="auto" w:fill="auto"/>
            <w:vAlign w:val="center"/>
          </w:tcPr>
          <w:p w14:paraId="3750D7AB" w14:textId="77777777" w:rsidR="002541AD" w:rsidRDefault="002541AD">
            <w:pPr>
              <w:rPr>
                <w:rFonts w:ascii="Times New Roman" w:hAnsi="Times New Roman"/>
                <w:sz w:val="20"/>
                <w:szCs w:val="20"/>
              </w:rPr>
            </w:pPr>
          </w:p>
        </w:tc>
        <w:tc>
          <w:tcPr>
            <w:tcW w:w="1780" w:type="dxa"/>
            <w:shd w:val="clear" w:color="auto" w:fill="auto"/>
            <w:vAlign w:val="center"/>
          </w:tcPr>
          <w:p w14:paraId="3750D7AC" w14:textId="77777777" w:rsidR="002541AD" w:rsidRDefault="002541AD">
            <w:pPr>
              <w:rPr>
                <w:rFonts w:ascii="Times New Roman" w:hAnsi="Times New Roman"/>
                <w:sz w:val="20"/>
                <w:szCs w:val="20"/>
              </w:rPr>
            </w:pPr>
          </w:p>
        </w:tc>
        <w:tc>
          <w:tcPr>
            <w:tcW w:w="100" w:type="dxa"/>
            <w:shd w:val="clear" w:color="auto" w:fill="auto"/>
            <w:vAlign w:val="center"/>
          </w:tcPr>
          <w:p w14:paraId="3750D7AD" w14:textId="77777777" w:rsidR="002541AD" w:rsidRDefault="002541AD">
            <w:pPr>
              <w:rPr>
                <w:rFonts w:ascii="Times New Roman" w:hAnsi="Times New Roman"/>
                <w:sz w:val="20"/>
                <w:szCs w:val="20"/>
              </w:rPr>
            </w:pPr>
          </w:p>
        </w:tc>
        <w:tc>
          <w:tcPr>
            <w:tcW w:w="1720" w:type="dxa"/>
            <w:shd w:val="clear" w:color="auto" w:fill="auto"/>
            <w:vAlign w:val="center"/>
          </w:tcPr>
          <w:p w14:paraId="3750D7AE" w14:textId="77777777" w:rsidR="002541AD" w:rsidRDefault="002541AD">
            <w:pPr>
              <w:rPr>
                <w:rFonts w:ascii="Times New Roman" w:hAnsi="Times New Roman"/>
                <w:sz w:val="20"/>
                <w:szCs w:val="20"/>
              </w:rPr>
            </w:pPr>
          </w:p>
        </w:tc>
        <w:tc>
          <w:tcPr>
            <w:tcW w:w="100" w:type="dxa"/>
            <w:shd w:val="clear" w:color="auto" w:fill="auto"/>
            <w:vAlign w:val="center"/>
          </w:tcPr>
          <w:p w14:paraId="3750D7AF" w14:textId="77777777" w:rsidR="002541AD" w:rsidRDefault="002541AD">
            <w:pPr>
              <w:rPr>
                <w:rFonts w:ascii="Times New Roman" w:hAnsi="Times New Roman"/>
                <w:sz w:val="20"/>
                <w:szCs w:val="20"/>
              </w:rPr>
            </w:pPr>
          </w:p>
        </w:tc>
        <w:tc>
          <w:tcPr>
            <w:tcW w:w="1720" w:type="dxa"/>
            <w:shd w:val="clear" w:color="auto" w:fill="auto"/>
            <w:vAlign w:val="center"/>
          </w:tcPr>
          <w:p w14:paraId="3750D7B0" w14:textId="77777777" w:rsidR="002541AD" w:rsidRDefault="002541AD">
            <w:pPr>
              <w:rPr>
                <w:rFonts w:ascii="Times New Roman" w:hAnsi="Times New Roman"/>
                <w:sz w:val="20"/>
                <w:szCs w:val="20"/>
              </w:rPr>
            </w:pPr>
          </w:p>
        </w:tc>
        <w:tc>
          <w:tcPr>
            <w:tcW w:w="100" w:type="dxa"/>
            <w:shd w:val="clear" w:color="auto" w:fill="auto"/>
            <w:vAlign w:val="center"/>
          </w:tcPr>
          <w:p w14:paraId="3750D7B1" w14:textId="77777777" w:rsidR="002541AD" w:rsidRDefault="002541AD">
            <w:pPr>
              <w:rPr>
                <w:rFonts w:ascii="Times New Roman" w:hAnsi="Times New Roman"/>
                <w:sz w:val="20"/>
                <w:szCs w:val="20"/>
              </w:rPr>
            </w:pPr>
          </w:p>
        </w:tc>
        <w:tc>
          <w:tcPr>
            <w:tcW w:w="1720" w:type="dxa"/>
            <w:shd w:val="clear" w:color="auto" w:fill="auto"/>
            <w:vAlign w:val="center"/>
          </w:tcPr>
          <w:p w14:paraId="3750D7B2" w14:textId="77777777" w:rsidR="002541AD" w:rsidRDefault="002541AD">
            <w:pPr>
              <w:rPr>
                <w:rFonts w:ascii="Times New Roman" w:hAnsi="Times New Roman"/>
                <w:sz w:val="20"/>
                <w:szCs w:val="20"/>
              </w:rPr>
            </w:pPr>
          </w:p>
        </w:tc>
        <w:tc>
          <w:tcPr>
            <w:tcW w:w="100" w:type="dxa"/>
            <w:shd w:val="clear" w:color="auto" w:fill="auto"/>
            <w:vAlign w:val="center"/>
          </w:tcPr>
          <w:p w14:paraId="3750D7B3" w14:textId="77777777" w:rsidR="002541AD" w:rsidRDefault="002541AD">
            <w:pPr>
              <w:rPr>
                <w:rFonts w:ascii="Times New Roman" w:hAnsi="Times New Roman"/>
                <w:sz w:val="20"/>
                <w:szCs w:val="20"/>
              </w:rPr>
            </w:pPr>
          </w:p>
        </w:tc>
        <w:tc>
          <w:tcPr>
            <w:tcW w:w="1720" w:type="dxa"/>
            <w:shd w:val="clear" w:color="auto" w:fill="auto"/>
            <w:vAlign w:val="center"/>
          </w:tcPr>
          <w:p w14:paraId="3750D7B4" w14:textId="77777777" w:rsidR="002541AD" w:rsidRDefault="002541AD">
            <w:pPr>
              <w:rPr>
                <w:rFonts w:ascii="Times New Roman" w:hAnsi="Times New Roman"/>
                <w:sz w:val="20"/>
                <w:szCs w:val="20"/>
              </w:rPr>
            </w:pPr>
          </w:p>
        </w:tc>
      </w:tr>
      <w:tr w:rsidR="002541AD" w14:paraId="3750D7BD" w14:textId="77777777">
        <w:tc>
          <w:tcPr>
            <w:tcW w:w="0" w:type="auto"/>
            <w:gridSpan w:val="3"/>
            <w:shd w:val="clear" w:color="auto" w:fill="003C71"/>
            <w:tcMar>
              <w:top w:w="40" w:type="dxa"/>
              <w:left w:w="40" w:type="dxa"/>
              <w:bottom w:w="40" w:type="dxa"/>
              <w:right w:w="40" w:type="dxa"/>
            </w:tcMar>
            <w:vAlign w:val="bottom"/>
          </w:tcPr>
          <w:p w14:paraId="3750D7B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7B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0071C5"/>
            <w:tcMar>
              <w:top w:w="40" w:type="dxa"/>
              <w:left w:w="40" w:type="dxa"/>
              <w:bottom w:w="40" w:type="dxa"/>
              <w:right w:w="40" w:type="dxa"/>
            </w:tcMar>
            <w:vAlign w:val="bottom"/>
          </w:tcPr>
          <w:p w14:paraId="3750D7B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7B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00AEEF"/>
            <w:tcMar>
              <w:top w:w="40" w:type="dxa"/>
              <w:left w:w="40" w:type="dxa"/>
              <w:bottom w:w="40" w:type="dxa"/>
              <w:right w:w="40" w:type="dxa"/>
            </w:tcMar>
            <w:vAlign w:val="bottom"/>
          </w:tcPr>
          <w:p w14:paraId="3750D7B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7B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CACAC"/>
            <w:tcMar>
              <w:top w:w="40" w:type="dxa"/>
              <w:left w:w="40" w:type="dxa"/>
              <w:bottom w:w="40" w:type="dxa"/>
              <w:right w:w="40" w:type="dxa"/>
            </w:tcMar>
            <w:vAlign w:val="bottom"/>
          </w:tcPr>
          <w:p w14:paraId="3750D7B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7CD" w14:textId="77777777">
        <w:tc>
          <w:tcPr>
            <w:tcW w:w="0" w:type="auto"/>
            <w:shd w:val="clear" w:color="auto" w:fill="auto"/>
            <w:tcMar>
              <w:top w:w="40" w:type="dxa"/>
              <w:left w:w="40" w:type="dxa"/>
              <w:bottom w:w="40" w:type="dxa"/>
              <w:right w:w="40" w:type="dxa"/>
            </w:tcMar>
          </w:tcPr>
          <w:p w14:paraId="3750D7BE" w14:textId="77777777" w:rsidR="002541AD" w:rsidRDefault="00901AA6">
            <w:pPr>
              <w:textAlignment w:val="top"/>
              <w:rPr>
                <w:rFonts w:ascii="Times New Roman" w:hAnsi="Times New Roman"/>
                <w:sz w:val="36"/>
                <w:szCs w:val="36"/>
              </w:rPr>
            </w:pPr>
            <w:r>
              <w:rPr>
                <w:rFonts w:ascii="Arial" w:eastAsia="宋体" w:hAnsi="Arial" w:cs="Arial"/>
                <w:b/>
                <w:bCs/>
                <w:color w:val="003C71"/>
                <w:sz w:val="36"/>
                <w:szCs w:val="36"/>
              </w:rPr>
              <w:t>$19.8B</w:t>
            </w:r>
          </w:p>
        </w:tc>
        <w:tc>
          <w:tcPr>
            <w:tcW w:w="0" w:type="auto"/>
            <w:shd w:val="clear" w:color="auto" w:fill="auto"/>
            <w:tcMar>
              <w:top w:w="40" w:type="dxa"/>
              <w:left w:w="40" w:type="dxa"/>
              <w:bottom w:w="40" w:type="dxa"/>
              <w:right w:w="40" w:type="dxa"/>
            </w:tcMar>
            <w:vAlign w:val="bottom"/>
          </w:tcPr>
          <w:p w14:paraId="3750D7B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7C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7C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D7C2" w14:textId="77777777" w:rsidR="002541AD" w:rsidRDefault="00901AA6">
            <w:pPr>
              <w:textAlignment w:val="top"/>
              <w:rPr>
                <w:rFonts w:ascii="Times New Roman" w:hAnsi="Times New Roman"/>
                <w:sz w:val="36"/>
                <w:szCs w:val="36"/>
              </w:rPr>
            </w:pPr>
            <w:r>
              <w:rPr>
                <w:rFonts w:ascii="Arial" w:eastAsia="宋体" w:hAnsi="Arial" w:cs="Arial"/>
                <w:b/>
                <w:bCs/>
                <w:color w:val="003C71"/>
                <w:sz w:val="36"/>
                <w:szCs w:val="36"/>
              </w:rPr>
              <w:t>$7.0B</w:t>
            </w:r>
          </w:p>
        </w:tc>
        <w:tc>
          <w:tcPr>
            <w:tcW w:w="0" w:type="auto"/>
            <w:shd w:val="clear" w:color="auto" w:fill="auto"/>
            <w:tcMar>
              <w:top w:w="40" w:type="dxa"/>
              <w:left w:w="40" w:type="dxa"/>
              <w:bottom w:w="40" w:type="dxa"/>
              <w:right w:w="40" w:type="dxa"/>
            </w:tcMar>
            <w:vAlign w:val="bottom"/>
          </w:tcPr>
          <w:p w14:paraId="3750D7C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D7C4" w14:textId="77777777" w:rsidR="002541AD" w:rsidRDefault="00901AA6">
            <w:pPr>
              <w:textAlignment w:val="top"/>
              <w:rPr>
                <w:rFonts w:ascii="Times New Roman" w:hAnsi="Times New Roman"/>
                <w:sz w:val="36"/>
                <w:szCs w:val="36"/>
              </w:rPr>
            </w:pPr>
            <w:r>
              <w:rPr>
                <w:rFonts w:ascii="Arial" w:eastAsia="宋体" w:hAnsi="Arial" w:cs="Arial"/>
                <w:b/>
                <w:bCs/>
                <w:color w:val="0071C5"/>
                <w:sz w:val="36"/>
                <w:szCs w:val="36"/>
              </w:rPr>
              <w:t>$7.5B</w:t>
            </w:r>
          </w:p>
        </w:tc>
        <w:tc>
          <w:tcPr>
            <w:tcW w:w="0" w:type="auto"/>
            <w:shd w:val="clear" w:color="auto" w:fill="auto"/>
            <w:tcMar>
              <w:top w:w="40" w:type="dxa"/>
              <w:left w:w="40" w:type="dxa"/>
              <w:bottom w:w="40" w:type="dxa"/>
              <w:right w:w="40" w:type="dxa"/>
            </w:tcMar>
            <w:vAlign w:val="bottom"/>
          </w:tcPr>
          <w:p w14:paraId="3750D7C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D7C6" w14:textId="77777777" w:rsidR="002541AD" w:rsidRDefault="00901AA6">
            <w:pPr>
              <w:textAlignment w:val="top"/>
              <w:rPr>
                <w:rFonts w:ascii="Times New Roman" w:hAnsi="Times New Roman"/>
                <w:sz w:val="36"/>
                <w:szCs w:val="36"/>
              </w:rPr>
            </w:pPr>
            <w:r>
              <w:rPr>
                <w:rFonts w:ascii="Arial" w:eastAsia="宋体" w:hAnsi="Arial" w:cs="Arial"/>
                <w:b/>
                <w:bCs/>
                <w:color w:val="003C71"/>
                <w:sz w:val="36"/>
                <w:szCs w:val="36"/>
              </w:rPr>
              <w:t>$1.31</w:t>
            </w:r>
          </w:p>
        </w:tc>
        <w:tc>
          <w:tcPr>
            <w:tcW w:w="0" w:type="auto"/>
            <w:shd w:val="clear" w:color="auto" w:fill="auto"/>
            <w:tcMar>
              <w:top w:w="40" w:type="dxa"/>
              <w:left w:w="40" w:type="dxa"/>
              <w:bottom w:w="40" w:type="dxa"/>
              <w:right w:w="40" w:type="dxa"/>
            </w:tcMar>
            <w:vAlign w:val="bottom"/>
          </w:tcPr>
          <w:p w14:paraId="3750D7C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D7C8" w14:textId="77777777" w:rsidR="002541AD" w:rsidRDefault="00901AA6">
            <w:pPr>
              <w:textAlignment w:val="top"/>
              <w:rPr>
                <w:rFonts w:ascii="Times New Roman" w:hAnsi="Times New Roman"/>
                <w:sz w:val="36"/>
                <w:szCs w:val="36"/>
              </w:rPr>
            </w:pPr>
            <w:r>
              <w:rPr>
                <w:rFonts w:ascii="Arial" w:eastAsia="宋体" w:hAnsi="Arial" w:cs="Arial"/>
                <w:b/>
                <w:bCs/>
                <w:color w:val="0071C5"/>
                <w:sz w:val="36"/>
                <w:szCs w:val="36"/>
              </w:rPr>
              <w:t>$1.45</w:t>
            </w:r>
          </w:p>
        </w:tc>
        <w:tc>
          <w:tcPr>
            <w:tcW w:w="0" w:type="auto"/>
            <w:shd w:val="clear" w:color="auto" w:fill="auto"/>
            <w:tcMar>
              <w:top w:w="40" w:type="dxa"/>
              <w:left w:w="40" w:type="dxa"/>
              <w:bottom w:w="40" w:type="dxa"/>
              <w:right w:w="40" w:type="dxa"/>
            </w:tcMar>
            <w:vAlign w:val="bottom"/>
          </w:tcPr>
          <w:p w14:paraId="3750D7C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D7CA" w14:textId="77777777" w:rsidR="002541AD" w:rsidRDefault="00901AA6">
            <w:pPr>
              <w:textAlignment w:val="top"/>
              <w:rPr>
                <w:rFonts w:ascii="Times New Roman" w:hAnsi="Times New Roman"/>
                <w:sz w:val="36"/>
                <w:szCs w:val="36"/>
              </w:rPr>
            </w:pPr>
            <w:r>
              <w:rPr>
                <w:rFonts w:ascii="Arial" w:eastAsia="宋体" w:hAnsi="Arial" w:cs="Arial"/>
                <w:b/>
                <w:bCs/>
                <w:color w:val="003C71"/>
                <w:sz w:val="36"/>
                <w:szCs w:val="36"/>
              </w:rPr>
              <w:t>$6.2B</w:t>
            </w:r>
          </w:p>
        </w:tc>
        <w:tc>
          <w:tcPr>
            <w:tcW w:w="0" w:type="auto"/>
            <w:shd w:val="clear" w:color="auto" w:fill="auto"/>
            <w:tcMar>
              <w:top w:w="40" w:type="dxa"/>
              <w:left w:w="40" w:type="dxa"/>
              <w:bottom w:w="40" w:type="dxa"/>
              <w:right w:w="40" w:type="dxa"/>
            </w:tcMar>
            <w:vAlign w:val="bottom"/>
          </w:tcPr>
          <w:p w14:paraId="3750D7C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D7CC" w14:textId="77777777" w:rsidR="002541AD" w:rsidRDefault="00901AA6">
            <w:pPr>
              <w:textAlignment w:val="top"/>
              <w:rPr>
                <w:rFonts w:ascii="Times New Roman" w:hAnsi="Times New Roman"/>
                <w:sz w:val="36"/>
                <w:szCs w:val="36"/>
              </w:rPr>
            </w:pPr>
            <w:r>
              <w:rPr>
                <w:rFonts w:ascii="Arial" w:eastAsia="宋体" w:hAnsi="Arial" w:cs="Arial"/>
                <w:b/>
                <w:bCs/>
                <w:color w:val="0071C5"/>
                <w:sz w:val="36"/>
                <w:szCs w:val="36"/>
              </w:rPr>
              <w:t>$2.9B</w:t>
            </w:r>
          </w:p>
        </w:tc>
      </w:tr>
      <w:tr w:rsidR="002541AD" w14:paraId="3750D7DD" w14:textId="77777777">
        <w:tc>
          <w:tcPr>
            <w:tcW w:w="0" w:type="auto"/>
            <w:tcBorders>
              <w:bottom w:val="single" w:sz="8" w:space="0" w:color="003C71"/>
            </w:tcBorders>
            <w:shd w:val="clear" w:color="auto" w:fill="auto"/>
            <w:tcMar>
              <w:top w:w="40" w:type="dxa"/>
              <w:left w:w="40" w:type="dxa"/>
              <w:bottom w:w="40" w:type="dxa"/>
              <w:right w:w="40" w:type="dxa"/>
            </w:tcMar>
            <w:vAlign w:val="bottom"/>
          </w:tcPr>
          <w:p w14:paraId="3750D7CE" w14:textId="77777777" w:rsidR="002541AD" w:rsidRDefault="00901AA6">
            <w:pPr>
              <w:textAlignment w:val="bottom"/>
              <w:rPr>
                <w:rFonts w:ascii="Times New Roman" w:hAnsi="Times New Roman"/>
                <w:sz w:val="18"/>
                <w:szCs w:val="18"/>
              </w:rPr>
            </w:pPr>
            <w:r>
              <w:rPr>
                <w:rFonts w:ascii="Arial" w:eastAsia="宋体" w:hAnsi="Arial" w:cs="Arial"/>
                <w:b/>
                <w:bCs/>
                <w:color w:val="003C71"/>
                <w:sz w:val="18"/>
                <w:szCs w:val="18"/>
              </w:rPr>
              <w:t>GAAP</w:t>
            </w:r>
          </w:p>
        </w:tc>
        <w:tc>
          <w:tcPr>
            <w:tcW w:w="0" w:type="auto"/>
            <w:tcBorders>
              <w:bottom w:val="single" w:sz="8" w:space="0" w:color="003C71"/>
            </w:tcBorders>
            <w:shd w:val="clear" w:color="auto" w:fill="auto"/>
            <w:tcMar>
              <w:top w:w="40" w:type="dxa"/>
              <w:left w:w="40" w:type="dxa"/>
              <w:bottom w:w="40" w:type="dxa"/>
              <w:right w:w="40" w:type="dxa"/>
            </w:tcMar>
            <w:vAlign w:val="bottom"/>
          </w:tcPr>
          <w:p w14:paraId="3750D7C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3C71"/>
            </w:tcBorders>
            <w:shd w:val="clear" w:color="auto" w:fill="auto"/>
            <w:tcMar>
              <w:top w:w="40" w:type="dxa"/>
              <w:left w:w="40" w:type="dxa"/>
              <w:bottom w:w="40" w:type="dxa"/>
              <w:right w:w="40" w:type="dxa"/>
            </w:tcMar>
            <w:vAlign w:val="bottom"/>
          </w:tcPr>
          <w:p w14:paraId="3750D7D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7D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D7D2" w14:textId="77777777" w:rsidR="002541AD" w:rsidRDefault="00901AA6">
            <w:pPr>
              <w:textAlignment w:val="bottom"/>
              <w:rPr>
                <w:rFonts w:ascii="Times New Roman" w:hAnsi="Times New Roman"/>
                <w:sz w:val="18"/>
                <w:szCs w:val="18"/>
              </w:rPr>
            </w:pPr>
            <w:r>
              <w:rPr>
                <w:rFonts w:ascii="Arial" w:eastAsia="宋体" w:hAnsi="Arial" w:cs="Arial"/>
                <w:b/>
                <w:bCs/>
                <w:color w:val="003C71"/>
                <w:sz w:val="18"/>
                <w:szCs w:val="18"/>
              </w:rPr>
              <w:t>GAAP</w:t>
            </w:r>
          </w:p>
        </w:tc>
        <w:tc>
          <w:tcPr>
            <w:tcW w:w="0" w:type="auto"/>
            <w:shd w:val="clear" w:color="auto" w:fill="auto"/>
            <w:tcMar>
              <w:top w:w="40" w:type="dxa"/>
              <w:left w:w="40" w:type="dxa"/>
              <w:bottom w:w="40" w:type="dxa"/>
              <w:right w:w="40" w:type="dxa"/>
            </w:tcMar>
            <w:vAlign w:val="bottom"/>
          </w:tcPr>
          <w:p w14:paraId="3750D7D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D7D4"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non-GAAP</w:t>
            </w:r>
            <w:r>
              <w:rPr>
                <w:rFonts w:ascii="Arial" w:eastAsia="宋体" w:hAnsi="Arial" w:cs="Arial"/>
                <w:b/>
                <w:bCs/>
                <w:color w:val="0071C5"/>
                <w:sz w:val="12"/>
                <w:szCs w:val="12"/>
              </w:rPr>
              <w:t>2</w:t>
            </w:r>
          </w:p>
        </w:tc>
        <w:tc>
          <w:tcPr>
            <w:tcW w:w="0" w:type="auto"/>
            <w:shd w:val="clear" w:color="auto" w:fill="auto"/>
            <w:tcMar>
              <w:top w:w="40" w:type="dxa"/>
              <w:left w:w="40" w:type="dxa"/>
              <w:bottom w:w="40" w:type="dxa"/>
              <w:right w:w="40" w:type="dxa"/>
            </w:tcMar>
            <w:vAlign w:val="bottom"/>
          </w:tcPr>
          <w:p w14:paraId="3750D7D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AEEF"/>
            </w:tcBorders>
            <w:shd w:val="clear" w:color="auto" w:fill="auto"/>
            <w:tcMar>
              <w:top w:w="40" w:type="dxa"/>
              <w:left w:w="40" w:type="dxa"/>
              <w:bottom w:w="40" w:type="dxa"/>
              <w:right w:w="40" w:type="dxa"/>
            </w:tcMar>
            <w:vAlign w:val="bottom"/>
          </w:tcPr>
          <w:p w14:paraId="3750D7D6" w14:textId="77777777" w:rsidR="002541AD" w:rsidRDefault="00901AA6">
            <w:pPr>
              <w:textAlignment w:val="bottom"/>
              <w:rPr>
                <w:rFonts w:ascii="Times New Roman" w:hAnsi="Times New Roman"/>
                <w:sz w:val="18"/>
                <w:szCs w:val="18"/>
              </w:rPr>
            </w:pPr>
            <w:r>
              <w:rPr>
                <w:rFonts w:ascii="Arial" w:eastAsia="宋体" w:hAnsi="Arial" w:cs="Arial"/>
                <w:b/>
                <w:bCs/>
                <w:color w:val="003C71"/>
                <w:sz w:val="18"/>
                <w:szCs w:val="18"/>
              </w:rPr>
              <w:t>GAAP</w:t>
            </w:r>
          </w:p>
        </w:tc>
        <w:tc>
          <w:tcPr>
            <w:tcW w:w="0" w:type="auto"/>
            <w:shd w:val="clear" w:color="auto" w:fill="auto"/>
            <w:tcMar>
              <w:top w:w="40" w:type="dxa"/>
              <w:left w:w="40" w:type="dxa"/>
              <w:bottom w:w="40" w:type="dxa"/>
              <w:right w:w="40" w:type="dxa"/>
            </w:tcMar>
            <w:vAlign w:val="bottom"/>
          </w:tcPr>
          <w:p w14:paraId="3750D7D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AEEF"/>
            </w:tcBorders>
            <w:shd w:val="clear" w:color="auto" w:fill="auto"/>
            <w:tcMar>
              <w:top w:w="40" w:type="dxa"/>
              <w:left w:w="40" w:type="dxa"/>
              <w:bottom w:w="40" w:type="dxa"/>
              <w:right w:w="40" w:type="dxa"/>
            </w:tcMar>
            <w:vAlign w:val="bottom"/>
          </w:tcPr>
          <w:p w14:paraId="3750D7D8"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non-GAAP</w:t>
            </w:r>
            <w:r>
              <w:rPr>
                <w:rFonts w:ascii="Arial" w:eastAsia="宋体" w:hAnsi="Arial" w:cs="Arial"/>
                <w:b/>
                <w:bCs/>
                <w:color w:val="0071C5"/>
                <w:sz w:val="12"/>
                <w:szCs w:val="12"/>
              </w:rPr>
              <w:t>2</w:t>
            </w:r>
          </w:p>
        </w:tc>
        <w:tc>
          <w:tcPr>
            <w:tcW w:w="0" w:type="auto"/>
            <w:shd w:val="clear" w:color="auto" w:fill="auto"/>
            <w:tcMar>
              <w:top w:w="40" w:type="dxa"/>
              <w:left w:w="40" w:type="dxa"/>
              <w:bottom w:w="40" w:type="dxa"/>
              <w:right w:w="40" w:type="dxa"/>
            </w:tcMar>
            <w:vAlign w:val="bottom"/>
          </w:tcPr>
          <w:p w14:paraId="3750D7D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C1C1C1"/>
            </w:tcBorders>
            <w:shd w:val="clear" w:color="auto" w:fill="auto"/>
            <w:tcMar>
              <w:top w:w="40" w:type="dxa"/>
              <w:left w:w="40" w:type="dxa"/>
              <w:bottom w:w="40" w:type="dxa"/>
              <w:right w:w="40" w:type="dxa"/>
            </w:tcMar>
            <w:vAlign w:val="bottom"/>
          </w:tcPr>
          <w:p w14:paraId="3750D7DA" w14:textId="77777777" w:rsidR="002541AD" w:rsidRDefault="00901AA6">
            <w:pPr>
              <w:textAlignment w:val="bottom"/>
              <w:rPr>
                <w:rFonts w:ascii="Times New Roman" w:hAnsi="Times New Roman"/>
                <w:sz w:val="18"/>
                <w:szCs w:val="18"/>
              </w:rPr>
            </w:pPr>
            <w:r>
              <w:rPr>
                <w:rFonts w:ascii="Arial" w:eastAsia="宋体" w:hAnsi="Arial" w:cs="Arial"/>
                <w:b/>
                <w:bCs/>
                <w:color w:val="003C71"/>
                <w:sz w:val="18"/>
                <w:szCs w:val="18"/>
              </w:rPr>
              <w:t>GAAP</w:t>
            </w:r>
          </w:p>
        </w:tc>
        <w:tc>
          <w:tcPr>
            <w:tcW w:w="0" w:type="auto"/>
            <w:shd w:val="clear" w:color="auto" w:fill="auto"/>
            <w:tcMar>
              <w:top w:w="40" w:type="dxa"/>
              <w:left w:w="40" w:type="dxa"/>
              <w:bottom w:w="40" w:type="dxa"/>
              <w:right w:w="40" w:type="dxa"/>
            </w:tcMar>
            <w:vAlign w:val="bottom"/>
          </w:tcPr>
          <w:p w14:paraId="3750D7D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C1C1C1"/>
            </w:tcBorders>
            <w:shd w:val="clear" w:color="auto" w:fill="auto"/>
            <w:tcMar>
              <w:top w:w="40" w:type="dxa"/>
              <w:left w:w="40" w:type="dxa"/>
              <w:bottom w:w="40" w:type="dxa"/>
              <w:right w:w="40" w:type="dxa"/>
            </w:tcMar>
            <w:vAlign w:val="bottom"/>
          </w:tcPr>
          <w:p w14:paraId="3750D7DC"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non-GAAP</w:t>
            </w:r>
            <w:r>
              <w:rPr>
                <w:rFonts w:ascii="Arial" w:eastAsia="宋体" w:hAnsi="Arial" w:cs="Arial"/>
                <w:b/>
                <w:bCs/>
                <w:color w:val="0071C5"/>
                <w:sz w:val="12"/>
                <w:szCs w:val="12"/>
              </w:rPr>
              <w:t>2</w:t>
            </w:r>
          </w:p>
        </w:tc>
      </w:tr>
      <w:tr w:rsidR="002541AD" w14:paraId="3750D7EB" w14:textId="77777777">
        <w:tc>
          <w:tcPr>
            <w:tcW w:w="0" w:type="auto"/>
            <w:gridSpan w:val="3"/>
            <w:shd w:val="clear" w:color="auto" w:fill="auto"/>
            <w:tcMar>
              <w:top w:w="40" w:type="dxa"/>
              <w:left w:w="40" w:type="dxa"/>
              <w:bottom w:w="40" w:type="dxa"/>
              <w:right w:w="40" w:type="dxa"/>
            </w:tcMar>
          </w:tcPr>
          <w:p w14:paraId="3750D7DE" w14:textId="77777777" w:rsidR="002541AD" w:rsidRDefault="00901AA6">
            <w:pPr>
              <w:textAlignment w:val="top"/>
              <w:rPr>
                <w:rFonts w:ascii="Times New Roman" w:hAnsi="Times New Roman"/>
                <w:sz w:val="16"/>
                <w:szCs w:val="16"/>
              </w:rPr>
            </w:pPr>
            <w:r>
              <w:rPr>
                <w:rFonts w:ascii="Arial" w:eastAsia="宋体" w:hAnsi="Arial" w:cs="Arial"/>
                <w:color w:val="333333"/>
                <w:sz w:val="16"/>
                <w:szCs w:val="16"/>
              </w:rPr>
              <w:t>Revenue up $3.8B or 23% from Q1 2019</w:t>
            </w:r>
          </w:p>
        </w:tc>
        <w:tc>
          <w:tcPr>
            <w:tcW w:w="0" w:type="auto"/>
            <w:shd w:val="clear" w:color="auto" w:fill="auto"/>
            <w:tcMar>
              <w:top w:w="40" w:type="dxa"/>
              <w:left w:w="40" w:type="dxa"/>
              <w:bottom w:w="40" w:type="dxa"/>
              <w:right w:w="40" w:type="dxa"/>
            </w:tcMar>
            <w:vAlign w:val="bottom"/>
          </w:tcPr>
          <w:p w14:paraId="3750D7D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D7E0" w14:textId="77777777" w:rsidR="002541AD" w:rsidRDefault="00901AA6">
            <w:pPr>
              <w:textAlignment w:val="top"/>
              <w:rPr>
                <w:rFonts w:ascii="Times New Roman" w:hAnsi="Times New Roman"/>
                <w:sz w:val="16"/>
                <w:szCs w:val="16"/>
              </w:rPr>
            </w:pPr>
            <w:r>
              <w:rPr>
                <w:rFonts w:ascii="Arial" w:eastAsia="宋体" w:hAnsi="Arial" w:cs="Arial"/>
                <w:color w:val="333333"/>
                <w:sz w:val="16"/>
                <w:szCs w:val="16"/>
              </w:rPr>
              <w:t>Operating income up $2.9B or 69% from Q1 2019; Q1 2020 operating margin at 35%</w:t>
            </w:r>
          </w:p>
        </w:tc>
        <w:tc>
          <w:tcPr>
            <w:tcW w:w="0" w:type="auto"/>
            <w:shd w:val="clear" w:color="auto" w:fill="auto"/>
            <w:tcMar>
              <w:top w:w="40" w:type="dxa"/>
              <w:left w:w="40" w:type="dxa"/>
              <w:bottom w:w="40" w:type="dxa"/>
              <w:right w:w="40" w:type="dxa"/>
            </w:tcMar>
            <w:vAlign w:val="bottom"/>
          </w:tcPr>
          <w:p w14:paraId="3750D7E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D7E2" w14:textId="77777777" w:rsidR="002541AD" w:rsidRDefault="00901AA6">
            <w:pPr>
              <w:textAlignment w:val="top"/>
              <w:rPr>
                <w:rFonts w:ascii="Times New Roman" w:hAnsi="Times New Roman"/>
                <w:sz w:val="16"/>
                <w:szCs w:val="16"/>
              </w:rPr>
            </w:pPr>
            <w:r>
              <w:rPr>
                <w:rFonts w:ascii="Arial" w:eastAsia="宋体" w:hAnsi="Arial" w:cs="Arial"/>
                <w:color w:val="333333"/>
                <w:sz w:val="16"/>
                <w:szCs w:val="16"/>
              </w:rPr>
              <w:t xml:space="preserve">Operating income up $3.0B or 67% from Q1 2019; Q1 2020 </w:t>
            </w:r>
            <w:r>
              <w:rPr>
                <w:rFonts w:ascii="Arial" w:eastAsia="宋体" w:hAnsi="Arial" w:cs="Arial"/>
                <w:color w:val="333333"/>
                <w:sz w:val="16"/>
                <w:szCs w:val="16"/>
              </w:rPr>
              <w:t>operating margin at 38%</w:t>
            </w:r>
          </w:p>
        </w:tc>
        <w:tc>
          <w:tcPr>
            <w:tcW w:w="0" w:type="auto"/>
            <w:shd w:val="clear" w:color="auto" w:fill="auto"/>
            <w:tcMar>
              <w:top w:w="40" w:type="dxa"/>
              <w:left w:w="40" w:type="dxa"/>
              <w:bottom w:w="40" w:type="dxa"/>
              <w:right w:w="40" w:type="dxa"/>
            </w:tcMar>
            <w:vAlign w:val="bottom"/>
          </w:tcPr>
          <w:p w14:paraId="3750D7E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D7E4" w14:textId="77777777" w:rsidR="002541AD" w:rsidRDefault="00901AA6">
            <w:pPr>
              <w:textAlignment w:val="top"/>
              <w:rPr>
                <w:rFonts w:ascii="Times New Roman" w:hAnsi="Times New Roman"/>
                <w:sz w:val="16"/>
                <w:szCs w:val="16"/>
              </w:rPr>
            </w:pPr>
            <w:r>
              <w:rPr>
                <w:rFonts w:ascii="Arial" w:eastAsia="宋体" w:hAnsi="Arial" w:cs="Arial"/>
                <w:color w:val="333333"/>
                <w:sz w:val="16"/>
                <w:szCs w:val="16"/>
              </w:rPr>
              <w:t>Diluted EPS up $0.44 or 51% from Q1 2019</w:t>
            </w:r>
          </w:p>
        </w:tc>
        <w:tc>
          <w:tcPr>
            <w:tcW w:w="0" w:type="auto"/>
            <w:shd w:val="clear" w:color="auto" w:fill="auto"/>
            <w:tcMar>
              <w:top w:w="40" w:type="dxa"/>
              <w:left w:w="40" w:type="dxa"/>
              <w:bottom w:w="40" w:type="dxa"/>
              <w:right w:w="40" w:type="dxa"/>
            </w:tcMar>
            <w:vAlign w:val="bottom"/>
          </w:tcPr>
          <w:p w14:paraId="3750D7E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D7E6" w14:textId="77777777" w:rsidR="002541AD" w:rsidRDefault="00901AA6">
            <w:pPr>
              <w:textAlignment w:val="top"/>
              <w:rPr>
                <w:rFonts w:ascii="Times New Roman" w:hAnsi="Times New Roman"/>
                <w:sz w:val="16"/>
                <w:szCs w:val="16"/>
              </w:rPr>
            </w:pPr>
            <w:r>
              <w:rPr>
                <w:rFonts w:ascii="Arial" w:eastAsia="宋体" w:hAnsi="Arial" w:cs="Arial"/>
                <w:color w:val="333333"/>
                <w:sz w:val="16"/>
                <w:szCs w:val="16"/>
              </w:rPr>
              <w:t>Diluted EPS up $0.56 or 63% from Q1 2019</w:t>
            </w:r>
          </w:p>
        </w:tc>
        <w:tc>
          <w:tcPr>
            <w:tcW w:w="0" w:type="auto"/>
            <w:shd w:val="clear" w:color="auto" w:fill="auto"/>
            <w:tcMar>
              <w:top w:w="40" w:type="dxa"/>
              <w:left w:w="40" w:type="dxa"/>
              <w:bottom w:w="40" w:type="dxa"/>
              <w:right w:w="40" w:type="dxa"/>
            </w:tcMar>
            <w:vAlign w:val="bottom"/>
          </w:tcPr>
          <w:p w14:paraId="3750D7E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D7E8" w14:textId="77777777" w:rsidR="002541AD" w:rsidRDefault="00901AA6">
            <w:pPr>
              <w:textAlignment w:val="top"/>
              <w:rPr>
                <w:rFonts w:ascii="Times New Roman" w:hAnsi="Times New Roman"/>
                <w:sz w:val="16"/>
                <w:szCs w:val="16"/>
              </w:rPr>
            </w:pPr>
            <w:r>
              <w:rPr>
                <w:rFonts w:ascii="Arial" w:eastAsia="宋体" w:hAnsi="Arial" w:cs="Arial"/>
                <w:color w:val="333333"/>
                <w:sz w:val="16"/>
                <w:szCs w:val="16"/>
              </w:rPr>
              <w:t>Operating cash flow up $1.2B or 24% from Q1 2019</w:t>
            </w:r>
          </w:p>
        </w:tc>
        <w:tc>
          <w:tcPr>
            <w:tcW w:w="0" w:type="auto"/>
            <w:shd w:val="clear" w:color="auto" w:fill="auto"/>
            <w:tcMar>
              <w:top w:w="40" w:type="dxa"/>
              <w:left w:w="40" w:type="dxa"/>
              <w:bottom w:w="40" w:type="dxa"/>
              <w:right w:w="40" w:type="dxa"/>
            </w:tcMar>
            <w:vAlign w:val="bottom"/>
          </w:tcPr>
          <w:p w14:paraId="3750D7E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D7EA" w14:textId="77777777" w:rsidR="002541AD" w:rsidRDefault="00901AA6">
            <w:pPr>
              <w:textAlignment w:val="top"/>
              <w:rPr>
                <w:rFonts w:ascii="Times New Roman" w:hAnsi="Times New Roman"/>
                <w:sz w:val="16"/>
                <w:szCs w:val="16"/>
              </w:rPr>
            </w:pPr>
            <w:r>
              <w:rPr>
                <w:rFonts w:ascii="Arial" w:eastAsia="宋体" w:hAnsi="Arial" w:cs="Arial"/>
                <w:color w:val="333333"/>
                <w:sz w:val="16"/>
                <w:szCs w:val="16"/>
              </w:rPr>
              <w:t>Free cash flow up $1.3B or 76% from Q1 2019</w:t>
            </w:r>
          </w:p>
        </w:tc>
      </w:tr>
      <w:tr w:rsidR="002541AD" w14:paraId="3750D7F9" w14:textId="77777777">
        <w:tc>
          <w:tcPr>
            <w:tcW w:w="0" w:type="auto"/>
            <w:gridSpan w:val="3"/>
            <w:shd w:val="clear" w:color="auto" w:fill="auto"/>
            <w:tcMar>
              <w:top w:w="40" w:type="dxa"/>
              <w:left w:w="40" w:type="dxa"/>
              <w:bottom w:w="40" w:type="dxa"/>
              <w:right w:w="40" w:type="dxa"/>
            </w:tcMar>
            <w:vAlign w:val="bottom"/>
          </w:tcPr>
          <w:p w14:paraId="3750D7E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7E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7E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7E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7F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7F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7F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7F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7F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7F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7F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7F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7F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801" w14:textId="77777777">
        <w:tc>
          <w:tcPr>
            <w:tcW w:w="0" w:type="auto"/>
            <w:gridSpan w:val="3"/>
            <w:shd w:val="clear" w:color="auto" w:fill="auto"/>
            <w:tcMar>
              <w:top w:w="40" w:type="dxa"/>
              <w:left w:w="40" w:type="dxa"/>
              <w:bottom w:w="40" w:type="dxa"/>
              <w:right w:w="40" w:type="dxa"/>
            </w:tcMar>
          </w:tcPr>
          <w:p w14:paraId="3750D7FA" w14:textId="77777777" w:rsidR="002541AD" w:rsidRDefault="00901AA6">
            <w:pPr>
              <w:textAlignment w:val="top"/>
              <w:rPr>
                <w:rFonts w:ascii="Times New Roman" w:hAnsi="Times New Roman"/>
                <w:sz w:val="16"/>
                <w:szCs w:val="16"/>
              </w:rPr>
            </w:pPr>
            <w:r>
              <w:rPr>
                <w:rFonts w:ascii="Arial" w:eastAsia="宋体" w:hAnsi="Arial" w:cs="Arial"/>
                <w:color w:val="333333"/>
                <w:sz w:val="16"/>
                <w:szCs w:val="16"/>
              </w:rPr>
              <w:t xml:space="preserve">Growth in most </w:t>
            </w:r>
            <w:r>
              <w:rPr>
                <w:rFonts w:ascii="Arial" w:eastAsia="宋体" w:hAnsi="Arial" w:cs="Arial"/>
                <w:color w:val="333333"/>
                <w:sz w:val="16"/>
                <w:szCs w:val="16"/>
              </w:rPr>
              <w:t>data-centric businesses and growth in the PC-centric business</w:t>
            </w:r>
          </w:p>
        </w:tc>
        <w:tc>
          <w:tcPr>
            <w:tcW w:w="0" w:type="auto"/>
            <w:shd w:val="clear" w:color="auto" w:fill="auto"/>
            <w:tcMar>
              <w:top w:w="40" w:type="dxa"/>
              <w:left w:w="40" w:type="dxa"/>
              <w:bottom w:w="40" w:type="dxa"/>
              <w:right w:w="40" w:type="dxa"/>
            </w:tcMar>
            <w:vAlign w:val="bottom"/>
          </w:tcPr>
          <w:p w14:paraId="3750D7F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tcPr>
          <w:p w14:paraId="3750D7FC" w14:textId="77777777" w:rsidR="002541AD" w:rsidRDefault="00901AA6">
            <w:pPr>
              <w:textAlignment w:val="top"/>
              <w:rPr>
                <w:rFonts w:ascii="Times New Roman" w:hAnsi="Times New Roman"/>
                <w:sz w:val="16"/>
                <w:szCs w:val="16"/>
              </w:rPr>
            </w:pPr>
            <w:r>
              <w:rPr>
                <w:rFonts w:ascii="Arial" w:eastAsia="宋体" w:hAnsi="Arial" w:cs="Arial"/>
                <w:color w:val="333333"/>
                <w:sz w:val="16"/>
                <w:szCs w:val="16"/>
              </w:rPr>
              <w:t>Higher gross margin from increase in platform unit sales and platform ASP strength, lower period charges, NAND market recovery and improved NAND unit cost, partially offset by increase in plat</w:t>
            </w:r>
            <w:r>
              <w:rPr>
                <w:rFonts w:ascii="Arial" w:eastAsia="宋体" w:hAnsi="Arial" w:cs="Arial"/>
                <w:color w:val="333333"/>
                <w:sz w:val="16"/>
                <w:szCs w:val="16"/>
              </w:rPr>
              <w:t>form unit cost</w:t>
            </w:r>
          </w:p>
        </w:tc>
        <w:tc>
          <w:tcPr>
            <w:tcW w:w="0" w:type="auto"/>
            <w:shd w:val="clear" w:color="auto" w:fill="auto"/>
            <w:tcMar>
              <w:top w:w="40" w:type="dxa"/>
              <w:left w:w="40" w:type="dxa"/>
              <w:bottom w:w="40" w:type="dxa"/>
              <w:right w:w="40" w:type="dxa"/>
            </w:tcMar>
            <w:vAlign w:val="bottom"/>
          </w:tcPr>
          <w:p w14:paraId="3750D7F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tcPr>
          <w:p w14:paraId="3750D7FE" w14:textId="77777777" w:rsidR="002541AD" w:rsidRDefault="00901AA6">
            <w:pPr>
              <w:textAlignment w:val="top"/>
              <w:rPr>
                <w:rFonts w:ascii="Times New Roman" w:hAnsi="Times New Roman"/>
                <w:sz w:val="16"/>
                <w:szCs w:val="16"/>
              </w:rPr>
            </w:pPr>
            <w:r>
              <w:rPr>
                <w:rFonts w:ascii="Arial" w:eastAsia="宋体" w:hAnsi="Arial" w:cs="Arial"/>
                <w:color w:val="333333"/>
                <w:sz w:val="16"/>
                <w:szCs w:val="16"/>
              </w:rPr>
              <w:t>Higher platform volume, platform ASP strength, lower period charges, NAND market recovery and improved unit cost, and lower shares outstanding, partially offset by higher platform unit cost and higher tax</w:t>
            </w:r>
          </w:p>
        </w:tc>
        <w:tc>
          <w:tcPr>
            <w:tcW w:w="0" w:type="auto"/>
            <w:shd w:val="clear" w:color="auto" w:fill="auto"/>
            <w:tcMar>
              <w:top w:w="40" w:type="dxa"/>
              <w:left w:w="40" w:type="dxa"/>
              <w:bottom w:w="40" w:type="dxa"/>
              <w:right w:w="40" w:type="dxa"/>
            </w:tcMar>
            <w:vAlign w:val="bottom"/>
          </w:tcPr>
          <w:p w14:paraId="3750D7F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tcPr>
          <w:p w14:paraId="3750D800" w14:textId="77777777" w:rsidR="002541AD" w:rsidRDefault="00901AA6">
            <w:pPr>
              <w:textAlignment w:val="top"/>
              <w:rPr>
                <w:rFonts w:ascii="Times New Roman" w:hAnsi="Times New Roman"/>
                <w:sz w:val="16"/>
                <w:szCs w:val="16"/>
              </w:rPr>
            </w:pPr>
            <w:r>
              <w:rPr>
                <w:rFonts w:ascii="Arial" w:eastAsia="宋体" w:hAnsi="Arial" w:cs="Arial"/>
                <w:color w:val="333333"/>
                <w:sz w:val="16"/>
                <w:szCs w:val="16"/>
              </w:rPr>
              <w:t xml:space="preserve">Higher net income offset by </w:t>
            </w:r>
            <w:r>
              <w:rPr>
                <w:rFonts w:ascii="Arial" w:eastAsia="宋体" w:hAnsi="Arial" w:cs="Arial"/>
                <w:color w:val="333333"/>
                <w:sz w:val="16"/>
                <w:szCs w:val="16"/>
              </w:rPr>
              <w:t>working capital changes driven by other assets and liabilities and accounts receivable</w:t>
            </w:r>
          </w:p>
        </w:tc>
      </w:tr>
    </w:tbl>
    <w:p w14:paraId="3750D802" w14:textId="77777777" w:rsidR="002541AD" w:rsidRDefault="00901AA6">
      <w:pPr>
        <w:spacing w:line="288" w:lineRule="auto"/>
        <w:rPr>
          <w:rFonts w:ascii="Times New Roman" w:hAnsi="Times New Roman"/>
        </w:rPr>
      </w:pPr>
      <w:r>
        <w:rPr>
          <w:rFonts w:ascii="Arial" w:eastAsia="宋体" w:hAnsi="Arial" w:cs="Arial"/>
          <w:b/>
          <w:bCs/>
          <w:color w:val="0071C5"/>
        </w:rPr>
        <w:t xml:space="preserve">BUSINESS SUMMARY </w:t>
      </w:r>
    </w:p>
    <w:tbl>
      <w:tblPr>
        <w:tblW w:w="0" w:type="auto"/>
        <w:tblCellSpacing w:w="0" w:type="dxa"/>
        <w:tblCellMar>
          <w:left w:w="0" w:type="dxa"/>
          <w:bottom w:w="160" w:type="dxa"/>
          <w:right w:w="0" w:type="dxa"/>
        </w:tblCellMar>
        <w:tblLook w:val="04A0" w:firstRow="1" w:lastRow="0" w:firstColumn="1" w:lastColumn="0" w:noHBand="0" w:noVBand="1"/>
      </w:tblPr>
      <w:tblGrid>
        <w:gridCol w:w="480"/>
        <w:gridCol w:w="7826"/>
      </w:tblGrid>
      <w:tr w:rsidR="002541AD" w14:paraId="3750D805" w14:textId="77777777">
        <w:trPr>
          <w:tblCellSpacing w:w="0" w:type="dxa"/>
        </w:trPr>
        <w:tc>
          <w:tcPr>
            <w:tcW w:w="480" w:type="dxa"/>
            <w:shd w:val="clear" w:color="auto" w:fill="auto"/>
            <w:vAlign w:val="center"/>
          </w:tcPr>
          <w:p w14:paraId="3750D803" w14:textId="77777777" w:rsidR="002541AD" w:rsidRDefault="002541AD">
            <w:pPr>
              <w:rPr>
                <w:rFonts w:ascii="Times New Roman" w:hAnsi="Times New Roman"/>
                <w:sz w:val="20"/>
                <w:szCs w:val="20"/>
              </w:rPr>
            </w:pPr>
          </w:p>
        </w:tc>
        <w:tc>
          <w:tcPr>
            <w:tcW w:w="0" w:type="auto"/>
            <w:shd w:val="clear" w:color="auto" w:fill="auto"/>
            <w:vAlign w:val="center"/>
          </w:tcPr>
          <w:p w14:paraId="3750D804" w14:textId="77777777" w:rsidR="002541AD" w:rsidRDefault="002541AD">
            <w:pPr>
              <w:rPr>
                <w:rFonts w:ascii="Times New Roman" w:hAnsi="Times New Roman"/>
                <w:sz w:val="20"/>
                <w:szCs w:val="20"/>
              </w:rPr>
            </w:pPr>
          </w:p>
        </w:tc>
      </w:tr>
      <w:tr w:rsidR="002541AD" w14:paraId="3750D808" w14:textId="77777777">
        <w:trPr>
          <w:tblCellSpacing w:w="0" w:type="dxa"/>
        </w:trPr>
        <w:tc>
          <w:tcPr>
            <w:tcW w:w="0" w:type="auto"/>
            <w:shd w:val="clear" w:color="auto" w:fill="auto"/>
          </w:tcPr>
          <w:p w14:paraId="3750D806" w14:textId="77777777" w:rsidR="002541AD" w:rsidRDefault="00901AA6">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3750D807"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We introduced a broad, data-centric portfolio for 5G network infrastructure including the new Intel Atom</w:t>
            </w:r>
            <w:r>
              <w:rPr>
                <w:rFonts w:ascii="Arial" w:eastAsia="宋体" w:hAnsi="Arial" w:cs="Arial"/>
                <w:color w:val="333333"/>
                <w:sz w:val="12"/>
                <w:szCs w:val="12"/>
              </w:rPr>
              <w:t>®</w:t>
            </w:r>
            <w:r>
              <w:rPr>
                <w:rFonts w:ascii="Arial" w:eastAsia="宋体" w:hAnsi="Arial" w:cs="Arial"/>
                <w:color w:val="333333"/>
                <w:sz w:val="18"/>
                <w:szCs w:val="18"/>
              </w:rPr>
              <w:t xml:space="preserve"> P5900, a 10nm SoC for wireless base stations; a next-generation structured ASIC for 5G network acceleration; and the launch of new 2nd Gen Intel</w:t>
            </w:r>
            <w:r>
              <w:rPr>
                <w:rFonts w:ascii="Arial" w:eastAsia="宋体" w:hAnsi="Arial" w:cs="Arial"/>
                <w:color w:val="333333"/>
                <w:sz w:val="12"/>
                <w:szCs w:val="12"/>
              </w:rPr>
              <w:t>®</w:t>
            </w:r>
            <w:r>
              <w:rPr>
                <w:rFonts w:ascii="Arial" w:eastAsia="宋体" w:hAnsi="Arial" w:cs="Arial"/>
                <w:color w:val="333333"/>
                <w:sz w:val="18"/>
                <w:szCs w:val="18"/>
              </w:rPr>
              <w:t xml:space="preserve"> Xeon</w:t>
            </w:r>
            <w:r>
              <w:rPr>
                <w:rFonts w:ascii="Arial" w:eastAsia="宋体" w:hAnsi="Arial" w:cs="Arial"/>
                <w:color w:val="333333"/>
                <w:sz w:val="12"/>
                <w:szCs w:val="12"/>
              </w:rPr>
              <w:t>®</w:t>
            </w:r>
            <w:r>
              <w:rPr>
                <w:rFonts w:ascii="Arial" w:eastAsia="宋体" w:hAnsi="Arial" w:cs="Arial"/>
                <w:color w:val="333333"/>
                <w:sz w:val="18"/>
                <w:szCs w:val="18"/>
              </w:rPr>
              <w:t xml:space="preserve"> Scalable processors. </w:t>
            </w:r>
          </w:p>
        </w:tc>
      </w:tr>
    </w:tbl>
    <w:p w14:paraId="3750D809" w14:textId="77777777" w:rsidR="002541AD" w:rsidRDefault="002541AD">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480"/>
        <w:gridCol w:w="7826"/>
      </w:tblGrid>
      <w:tr w:rsidR="002541AD" w14:paraId="3750D80C" w14:textId="77777777">
        <w:trPr>
          <w:tblCellSpacing w:w="0" w:type="dxa"/>
        </w:trPr>
        <w:tc>
          <w:tcPr>
            <w:tcW w:w="480" w:type="dxa"/>
            <w:shd w:val="clear" w:color="auto" w:fill="auto"/>
            <w:vAlign w:val="center"/>
          </w:tcPr>
          <w:p w14:paraId="3750D80A" w14:textId="77777777" w:rsidR="002541AD" w:rsidRDefault="002541AD">
            <w:pPr>
              <w:rPr>
                <w:rFonts w:ascii="Times New Roman" w:hAnsi="Times New Roman"/>
                <w:sz w:val="20"/>
                <w:szCs w:val="20"/>
              </w:rPr>
            </w:pPr>
          </w:p>
        </w:tc>
        <w:tc>
          <w:tcPr>
            <w:tcW w:w="0" w:type="auto"/>
            <w:shd w:val="clear" w:color="auto" w:fill="auto"/>
            <w:vAlign w:val="center"/>
          </w:tcPr>
          <w:p w14:paraId="3750D80B" w14:textId="77777777" w:rsidR="002541AD" w:rsidRDefault="002541AD">
            <w:pPr>
              <w:rPr>
                <w:rFonts w:ascii="Times New Roman" w:hAnsi="Times New Roman"/>
                <w:sz w:val="20"/>
                <w:szCs w:val="20"/>
              </w:rPr>
            </w:pPr>
          </w:p>
        </w:tc>
      </w:tr>
      <w:tr w:rsidR="002541AD" w14:paraId="3750D80F" w14:textId="77777777">
        <w:trPr>
          <w:tblCellSpacing w:w="0" w:type="dxa"/>
        </w:trPr>
        <w:tc>
          <w:tcPr>
            <w:tcW w:w="0" w:type="auto"/>
            <w:shd w:val="clear" w:color="auto" w:fill="auto"/>
          </w:tcPr>
          <w:p w14:paraId="3750D80D" w14:textId="77777777" w:rsidR="002541AD" w:rsidRDefault="00901AA6">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3750D80E"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We announced the 10th Gen Intel</w:t>
            </w:r>
            <w:r>
              <w:rPr>
                <w:rFonts w:ascii="Arial" w:eastAsia="宋体" w:hAnsi="Arial" w:cs="Arial"/>
                <w:color w:val="333333"/>
                <w:sz w:val="12"/>
                <w:szCs w:val="12"/>
              </w:rPr>
              <w:t>®</w:t>
            </w:r>
            <w:r>
              <w:rPr>
                <w:rFonts w:ascii="Arial" w:eastAsia="宋体" w:hAnsi="Arial" w:cs="Arial"/>
                <w:color w:val="333333"/>
                <w:sz w:val="18"/>
                <w:szCs w:val="18"/>
              </w:rPr>
              <w:t xml:space="preserve"> Core</w:t>
            </w:r>
            <w:r>
              <w:rPr>
                <w:rFonts w:ascii="Arial" w:eastAsia="宋体" w:hAnsi="Arial" w:cs="Arial"/>
                <w:color w:val="333333"/>
                <w:sz w:val="12"/>
                <w:szCs w:val="12"/>
              </w:rPr>
              <w:t>™</w:t>
            </w:r>
            <w:r>
              <w:rPr>
                <w:rFonts w:ascii="Arial" w:eastAsia="宋体" w:hAnsi="Arial" w:cs="Arial"/>
                <w:color w:val="333333"/>
                <w:sz w:val="18"/>
                <w:szCs w:val="18"/>
              </w:rPr>
              <w:t xml:space="preserve"> H-series mobile processors, a new f</w:t>
            </w:r>
            <w:r>
              <w:rPr>
                <w:rFonts w:ascii="Arial" w:eastAsia="宋体" w:hAnsi="Arial" w:cs="Arial"/>
                <w:color w:val="333333"/>
                <w:sz w:val="18"/>
                <w:szCs w:val="18"/>
              </w:rPr>
              <w:t>amily of mobile processors aimed at gamers and creators everywhere, which deliver faster performance with up to 5.3GHz Turbo, eight cores, and 16 threads.</w:t>
            </w:r>
          </w:p>
        </w:tc>
      </w:tr>
    </w:tbl>
    <w:p w14:paraId="3750D810" w14:textId="77777777" w:rsidR="002541AD" w:rsidRDefault="002541AD">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480"/>
        <w:gridCol w:w="7826"/>
      </w:tblGrid>
      <w:tr w:rsidR="002541AD" w14:paraId="3750D813" w14:textId="77777777">
        <w:trPr>
          <w:tblCellSpacing w:w="0" w:type="dxa"/>
        </w:trPr>
        <w:tc>
          <w:tcPr>
            <w:tcW w:w="480" w:type="dxa"/>
            <w:shd w:val="clear" w:color="auto" w:fill="auto"/>
            <w:vAlign w:val="center"/>
          </w:tcPr>
          <w:p w14:paraId="3750D811" w14:textId="77777777" w:rsidR="002541AD" w:rsidRDefault="002541AD">
            <w:pPr>
              <w:rPr>
                <w:rFonts w:ascii="Times New Roman" w:hAnsi="Times New Roman"/>
                <w:sz w:val="20"/>
                <w:szCs w:val="20"/>
              </w:rPr>
            </w:pPr>
          </w:p>
        </w:tc>
        <w:tc>
          <w:tcPr>
            <w:tcW w:w="0" w:type="auto"/>
            <w:shd w:val="clear" w:color="auto" w:fill="auto"/>
            <w:vAlign w:val="center"/>
          </w:tcPr>
          <w:p w14:paraId="3750D812" w14:textId="77777777" w:rsidR="002541AD" w:rsidRDefault="002541AD">
            <w:pPr>
              <w:rPr>
                <w:rFonts w:ascii="Times New Roman" w:hAnsi="Times New Roman"/>
                <w:sz w:val="20"/>
                <w:szCs w:val="20"/>
              </w:rPr>
            </w:pPr>
          </w:p>
        </w:tc>
      </w:tr>
      <w:tr w:rsidR="002541AD" w14:paraId="3750D816" w14:textId="77777777">
        <w:trPr>
          <w:tblCellSpacing w:w="0" w:type="dxa"/>
        </w:trPr>
        <w:tc>
          <w:tcPr>
            <w:tcW w:w="0" w:type="auto"/>
            <w:shd w:val="clear" w:color="auto" w:fill="auto"/>
          </w:tcPr>
          <w:p w14:paraId="3750D814" w14:textId="77777777" w:rsidR="002541AD" w:rsidRDefault="00901AA6">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3750D815"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We experienced growth in most data-centric businesses. DCG grew across all segments and </w:t>
            </w:r>
            <w:r>
              <w:rPr>
                <w:rFonts w:ascii="Arial" w:eastAsia="宋体" w:hAnsi="Arial" w:cs="Arial"/>
                <w:color w:val="333333"/>
                <w:sz w:val="18"/>
                <w:szCs w:val="18"/>
              </w:rPr>
              <w:t>adjacencies continued to ramp. NSG grew with record revenue driven by NAND and Intel</w:t>
            </w:r>
            <w:r>
              <w:rPr>
                <w:rFonts w:ascii="Arial" w:eastAsia="宋体" w:hAnsi="Arial" w:cs="Arial"/>
                <w:color w:val="333333"/>
                <w:sz w:val="12"/>
                <w:szCs w:val="12"/>
              </w:rPr>
              <w:t xml:space="preserve">® </w:t>
            </w:r>
            <w:r>
              <w:rPr>
                <w:rFonts w:ascii="Arial" w:eastAsia="宋体" w:hAnsi="Arial" w:cs="Arial"/>
                <w:color w:val="333333"/>
                <w:sz w:val="18"/>
                <w:szCs w:val="18"/>
              </w:rPr>
              <w:t>Optane™ memory bit growth and higher ASP. Mobileye recognized record revenue with increasing ADAS adoption. IOTG declined on COVID-19 impact.</w:t>
            </w:r>
          </w:p>
        </w:tc>
      </w:tr>
    </w:tbl>
    <w:p w14:paraId="3750D817" w14:textId="77777777" w:rsidR="002541AD" w:rsidRDefault="002541AD">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2541AD" w14:paraId="3750D81A" w14:textId="77777777">
        <w:trPr>
          <w:tblCellSpacing w:w="0" w:type="dxa"/>
        </w:trPr>
        <w:tc>
          <w:tcPr>
            <w:tcW w:w="480" w:type="dxa"/>
            <w:shd w:val="clear" w:color="auto" w:fill="auto"/>
            <w:vAlign w:val="center"/>
          </w:tcPr>
          <w:p w14:paraId="3750D818" w14:textId="77777777" w:rsidR="002541AD" w:rsidRDefault="002541AD">
            <w:pPr>
              <w:rPr>
                <w:rFonts w:ascii="Times New Roman" w:hAnsi="Times New Roman"/>
                <w:sz w:val="20"/>
                <w:szCs w:val="20"/>
              </w:rPr>
            </w:pPr>
          </w:p>
        </w:tc>
        <w:tc>
          <w:tcPr>
            <w:tcW w:w="0" w:type="auto"/>
            <w:shd w:val="clear" w:color="auto" w:fill="auto"/>
            <w:vAlign w:val="center"/>
          </w:tcPr>
          <w:p w14:paraId="3750D819" w14:textId="77777777" w:rsidR="002541AD" w:rsidRDefault="002541AD">
            <w:pPr>
              <w:rPr>
                <w:rFonts w:ascii="Times New Roman" w:hAnsi="Times New Roman"/>
                <w:sz w:val="20"/>
                <w:szCs w:val="20"/>
              </w:rPr>
            </w:pPr>
          </w:p>
        </w:tc>
      </w:tr>
      <w:tr w:rsidR="002541AD" w14:paraId="3750D81D" w14:textId="77777777">
        <w:trPr>
          <w:tblCellSpacing w:w="0" w:type="dxa"/>
        </w:trPr>
        <w:tc>
          <w:tcPr>
            <w:tcW w:w="0" w:type="auto"/>
            <w:shd w:val="clear" w:color="auto" w:fill="auto"/>
          </w:tcPr>
          <w:p w14:paraId="3750D81B" w14:textId="77777777" w:rsidR="002541AD" w:rsidRDefault="00901AA6">
            <w:pPr>
              <w:spacing w:line="288" w:lineRule="auto"/>
              <w:textAlignment w:val="top"/>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Pr>
          <w:p w14:paraId="3750D81C"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PC-centric growth was driven by notebook demand strength as consumers and businesses are relying on PCs for working and learning at home. </w:t>
            </w:r>
          </w:p>
        </w:tc>
      </w:tr>
    </w:tbl>
    <w:p w14:paraId="3750D81E" w14:textId="77777777" w:rsidR="002541AD" w:rsidRDefault="002541AD">
      <w:pPr>
        <w:spacing w:line="288" w:lineRule="auto"/>
        <w:rPr>
          <w:rFonts w:ascii="Times New Roman" w:hAnsi="Times New Roman"/>
          <w:sz w:val="18"/>
          <w:szCs w:val="18"/>
        </w:rPr>
      </w:pPr>
    </w:p>
    <w:p w14:paraId="3750D81F" w14:textId="77777777" w:rsidR="002541AD" w:rsidRDefault="002541AD">
      <w:pPr>
        <w:spacing w:line="288" w:lineRule="auto"/>
        <w:rPr>
          <w:rFonts w:ascii="Times New Roman" w:hAnsi="Times New Roman"/>
          <w:sz w:val="18"/>
          <w:szCs w:val="18"/>
        </w:rPr>
      </w:pPr>
    </w:p>
    <w:tbl>
      <w:tblPr>
        <w:tblW w:w="0" w:type="auto"/>
        <w:tblCellSpacing w:w="0" w:type="dxa"/>
        <w:tblCellMar>
          <w:left w:w="0" w:type="dxa"/>
          <w:right w:w="0" w:type="dxa"/>
        </w:tblCellMar>
        <w:tblLook w:val="04A0" w:firstRow="1" w:lastRow="0" w:firstColumn="1" w:lastColumn="0" w:noHBand="0" w:noVBand="1"/>
      </w:tblPr>
      <w:tblGrid>
        <w:gridCol w:w="240"/>
        <w:gridCol w:w="6962"/>
      </w:tblGrid>
      <w:tr w:rsidR="002541AD" w14:paraId="3750D822" w14:textId="77777777">
        <w:trPr>
          <w:tblCellSpacing w:w="0" w:type="dxa"/>
        </w:trPr>
        <w:tc>
          <w:tcPr>
            <w:tcW w:w="240" w:type="dxa"/>
            <w:shd w:val="clear" w:color="auto" w:fill="auto"/>
            <w:vAlign w:val="center"/>
          </w:tcPr>
          <w:p w14:paraId="3750D820" w14:textId="77777777" w:rsidR="002541AD" w:rsidRDefault="002541AD">
            <w:pPr>
              <w:rPr>
                <w:rFonts w:ascii="Times New Roman" w:hAnsi="Times New Roman"/>
                <w:sz w:val="20"/>
                <w:szCs w:val="20"/>
              </w:rPr>
            </w:pPr>
          </w:p>
        </w:tc>
        <w:tc>
          <w:tcPr>
            <w:tcW w:w="0" w:type="auto"/>
            <w:shd w:val="clear" w:color="auto" w:fill="auto"/>
            <w:vAlign w:val="center"/>
          </w:tcPr>
          <w:p w14:paraId="3750D821" w14:textId="77777777" w:rsidR="002541AD" w:rsidRDefault="002541AD">
            <w:pPr>
              <w:rPr>
                <w:rFonts w:ascii="Times New Roman" w:hAnsi="Times New Roman"/>
                <w:sz w:val="20"/>
                <w:szCs w:val="20"/>
              </w:rPr>
            </w:pPr>
          </w:p>
        </w:tc>
      </w:tr>
      <w:tr w:rsidR="002541AD" w14:paraId="3750D825" w14:textId="77777777">
        <w:trPr>
          <w:tblCellSpacing w:w="0" w:type="dxa"/>
        </w:trPr>
        <w:tc>
          <w:tcPr>
            <w:tcW w:w="0" w:type="auto"/>
            <w:shd w:val="clear" w:color="auto" w:fill="auto"/>
          </w:tcPr>
          <w:p w14:paraId="3750D823"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0"/>
                <w:szCs w:val="10"/>
              </w:rPr>
              <w:t>1</w:t>
            </w:r>
            <w:r>
              <w:rPr>
                <w:rFonts w:ascii="Arial" w:eastAsia="宋体" w:hAnsi="Arial" w:cs="Arial"/>
                <w:i/>
                <w:iCs/>
                <w:color w:val="333333"/>
                <w:sz w:val="16"/>
                <w:szCs w:val="16"/>
              </w:rPr>
              <w:t> </w:t>
            </w:r>
          </w:p>
        </w:tc>
        <w:tc>
          <w:tcPr>
            <w:tcW w:w="0" w:type="auto"/>
            <w:shd w:val="clear" w:color="auto" w:fill="auto"/>
          </w:tcPr>
          <w:p w14:paraId="3750D824"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See "Key Terms" within </w:t>
            </w:r>
            <w:r>
              <w:rPr>
                <w:rFonts w:ascii="Arial" w:eastAsia="宋体" w:hAnsi="Arial" w:cs="Arial"/>
                <w:i/>
                <w:iCs/>
                <w:color w:val="333333"/>
                <w:sz w:val="16"/>
                <w:szCs w:val="16"/>
              </w:rPr>
              <w:t>Consolidated Condensed Financial Statements and Supplemental Details</w:t>
            </w:r>
            <w:r>
              <w:rPr>
                <w:rFonts w:ascii="Arial" w:eastAsia="宋体" w:hAnsi="Arial" w:cs="Arial"/>
                <w:i/>
                <w:iCs/>
                <w:color w:val="333333"/>
                <w:sz w:val="16"/>
                <w:szCs w:val="16"/>
              </w:rPr>
              <w:t xml:space="preserve">. </w:t>
            </w:r>
          </w:p>
        </w:tc>
      </w:tr>
    </w:tbl>
    <w:p w14:paraId="3750D826" w14:textId="77777777" w:rsidR="002541AD" w:rsidRDefault="002541AD">
      <w:pPr>
        <w:rPr>
          <w:vanish/>
        </w:rPr>
      </w:pPr>
    </w:p>
    <w:tbl>
      <w:tblPr>
        <w:tblW w:w="0" w:type="auto"/>
        <w:tblCellSpacing w:w="0" w:type="dxa"/>
        <w:tblCellMar>
          <w:left w:w="0" w:type="dxa"/>
          <w:right w:w="0" w:type="dxa"/>
        </w:tblCellMar>
        <w:tblLook w:val="04A0" w:firstRow="1" w:lastRow="0" w:firstColumn="1" w:lastColumn="0" w:noHBand="0" w:noVBand="1"/>
      </w:tblPr>
      <w:tblGrid>
        <w:gridCol w:w="240"/>
        <w:gridCol w:w="3671"/>
      </w:tblGrid>
      <w:tr w:rsidR="002541AD" w14:paraId="3750D829" w14:textId="77777777">
        <w:trPr>
          <w:tblCellSpacing w:w="0" w:type="dxa"/>
        </w:trPr>
        <w:tc>
          <w:tcPr>
            <w:tcW w:w="240" w:type="dxa"/>
            <w:shd w:val="clear" w:color="auto" w:fill="auto"/>
            <w:vAlign w:val="center"/>
          </w:tcPr>
          <w:p w14:paraId="3750D827" w14:textId="77777777" w:rsidR="002541AD" w:rsidRDefault="002541AD">
            <w:pPr>
              <w:rPr>
                <w:rFonts w:ascii="Times New Roman" w:hAnsi="Times New Roman"/>
                <w:sz w:val="20"/>
                <w:szCs w:val="20"/>
              </w:rPr>
            </w:pPr>
          </w:p>
        </w:tc>
        <w:tc>
          <w:tcPr>
            <w:tcW w:w="0" w:type="auto"/>
            <w:shd w:val="clear" w:color="auto" w:fill="auto"/>
            <w:vAlign w:val="center"/>
          </w:tcPr>
          <w:p w14:paraId="3750D828" w14:textId="77777777" w:rsidR="002541AD" w:rsidRDefault="002541AD">
            <w:pPr>
              <w:rPr>
                <w:rFonts w:ascii="Times New Roman" w:hAnsi="Times New Roman"/>
                <w:sz w:val="20"/>
                <w:szCs w:val="20"/>
              </w:rPr>
            </w:pPr>
          </w:p>
        </w:tc>
      </w:tr>
      <w:tr w:rsidR="002541AD" w14:paraId="3750D82C" w14:textId="77777777">
        <w:trPr>
          <w:tblCellSpacing w:w="0" w:type="dxa"/>
        </w:trPr>
        <w:tc>
          <w:tcPr>
            <w:tcW w:w="0" w:type="auto"/>
            <w:shd w:val="clear" w:color="auto" w:fill="auto"/>
          </w:tcPr>
          <w:p w14:paraId="3750D82A"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0"/>
                <w:szCs w:val="10"/>
              </w:rPr>
              <w:t>2</w:t>
            </w:r>
            <w:r>
              <w:rPr>
                <w:rFonts w:ascii="Arial" w:eastAsia="宋体" w:hAnsi="Arial" w:cs="Arial"/>
                <w:i/>
                <w:iCs/>
                <w:color w:val="333333"/>
                <w:sz w:val="16"/>
                <w:szCs w:val="16"/>
              </w:rPr>
              <w:t> </w:t>
            </w:r>
          </w:p>
        </w:tc>
        <w:tc>
          <w:tcPr>
            <w:tcW w:w="0" w:type="auto"/>
            <w:shd w:val="clear" w:color="auto" w:fill="auto"/>
          </w:tcPr>
          <w:p w14:paraId="3750D82B"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See </w:t>
            </w:r>
            <w:r>
              <w:rPr>
                <w:rFonts w:ascii="Arial" w:eastAsia="宋体" w:hAnsi="Arial" w:cs="Arial"/>
                <w:i/>
                <w:iCs/>
                <w:color w:val="333333"/>
                <w:sz w:val="16"/>
                <w:szCs w:val="16"/>
              </w:rPr>
              <w:t>"Non-GAAP Financial Measures" within MD&amp;A.</w:t>
            </w:r>
          </w:p>
        </w:tc>
      </w:tr>
    </w:tbl>
    <w:p w14:paraId="3750D82D" w14:textId="77777777" w:rsidR="002541AD" w:rsidRDefault="002541AD">
      <w:pPr>
        <w:spacing w:line="288" w:lineRule="auto"/>
        <w:rPr>
          <w:rFonts w:ascii="Times New Roman" w:hAnsi="Times New Roman"/>
          <w:sz w:val="18"/>
          <w:szCs w:val="18"/>
        </w:rPr>
      </w:pPr>
    </w:p>
    <w:p w14:paraId="3750D82E"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5"/>
        <w:gridCol w:w="2326"/>
        <w:gridCol w:w="3405"/>
      </w:tblGrid>
      <w:tr w:rsidR="002541AD" w14:paraId="3750D830" w14:textId="77777777">
        <w:tc>
          <w:tcPr>
            <w:tcW w:w="0" w:type="auto"/>
            <w:gridSpan w:val="3"/>
            <w:shd w:val="clear" w:color="auto" w:fill="auto"/>
            <w:vAlign w:val="center"/>
          </w:tcPr>
          <w:p w14:paraId="3750D82F" w14:textId="77777777" w:rsidR="002541AD" w:rsidRDefault="002541AD">
            <w:pPr>
              <w:rPr>
                <w:rFonts w:ascii="Times New Roman" w:hAnsi="Times New Roman"/>
                <w:sz w:val="20"/>
                <w:szCs w:val="20"/>
              </w:rPr>
            </w:pPr>
          </w:p>
        </w:tc>
      </w:tr>
      <w:tr w:rsidR="002541AD" w14:paraId="3750D834" w14:textId="77777777">
        <w:tc>
          <w:tcPr>
            <w:tcW w:w="1550" w:type="pct"/>
            <w:shd w:val="clear" w:color="auto" w:fill="auto"/>
            <w:vAlign w:val="center"/>
          </w:tcPr>
          <w:p w14:paraId="3750D831" w14:textId="77777777" w:rsidR="002541AD" w:rsidRDefault="002541AD">
            <w:pPr>
              <w:rPr>
                <w:rFonts w:ascii="Times New Roman" w:hAnsi="Times New Roman"/>
                <w:sz w:val="20"/>
                <w:szCs w:val="20"/>
              </w:rPr>
            </w:pPr>
          </w:p>
        </w:tc>
        <w:tc>
          <w:tcPr>
            <w:tcW w:w="1400" w:type="pct"/>
            <w:shd w:val="clear" w:color="auto" w:fill="auto"/>
            <w:vAlign w:val="center"/>
          </w:tcPr>
          <w:p w14:paraId="3750D832" w14:textId="77777777" w:rsidR="002541AD" w:rsidRDefault="002541AD">
            <w:pPr>
              <w:rPr>
                <w:rFonts w:ascii="Times New Roman" w:hAnsi="Times New Roman"/>
                <w:sz w:val="20"/>
                <w:szCs w:val="20"/>
              </w:rPr>
            </w:pPr>
          </w:p>
        </w:tc>
        <w:tc>
          <w:tcPr>
            <w:tcW w:w="2050" w:type="pct"/>
            <w:shd w:val="clear" w:color="auto" w:fill="auto"/>
            <w:vAlign w:val="center"/>
          </w:tcPr>
          <w:p w14:paraId="3750D833" w14:textId="77777777" w:rsidR="002541AD" w:rsidRDefault="002541AD">
            <w:pPr>
              <w:rPr>
                <w:rFonts w:ascii="Times New Roman" w:hAnsi="Times New Roman"/>
                <w:sz w:val="20"/>
                <w:szCs w:val="20"/>
              </w:rPr>
            </w:pPr>
          </w:p>
        </w:tc>
      </w:tr>
      <w:tr w:rsidR="002541AD" w14:paraId="3750D838"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D835"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4D" wp14:editId="3750F84E">
                  <wp:extent cx="304800" cy="304800"/>
                  <wp:effectExtent l="0" t="0" r="0" b="0"/>
                  <wp:docPr id="50" name="图片 49"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A QUARTER IN REVIEW</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83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837"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5</w:t>
            </w:r>
          </w:p>
        </w:tc>
      </w:tr>
    </w:tbl>
    <w:p w14:paraId="3750D839" w14:textId="77777777" w:rsidR="002541AD" w:rsidRDefault="00901AA6">
      <w:r>
        <w:pict w14:anchorId="3750F84F">
          <v:rect id="_x0000_i1031" style="width:415.3pt;height:1.5pt" o:hralign="center" o:hrstd="t" o:hr="t" fillcolor="#a0a0a0" stroked="f"/>
        </w:pict>
      </w:r>
    </w:p>
    <w:p w14:paraId="3750D83A" w14:textId="77777777" w:rsidR="002541AD" w:rsidRDefault="00901AA6">
      <w:pPr>
        <w:spacing w:line="288" w:lineRule="auto"/>
        <w:jc w:val="right"/>
        <w:rPr>
          <w:rFonts w:ascii="Times New Roman" w:hAnsi="Times New Roman"/>
          <w:sz w:val="16"/>
          <w:szCs w:val="16"/>
        </w:rPr>
      </w:pPr>
      <w:hyperlink r:id="rId34" w:anchor="s2CABEAF4222C52B4A34547BF538A8C27" w:history="1">
        <w:r>
          <w:rPr>
            <w:rStyle w:val="a5"/>
            <w:rFonts w:ascii="Arial" w:eastAsia="宋体" w:hAnsi="Arial" w:cs="Arial"/>
            <w:b/>
            <w:bCs/>
            <w:sz w:val="16"/>
            <w:szCs w:val="16"/>
          </w:rPr>
          <w:t>Table of Contents</w:t>
        </w:r>
      </w:hyperlink>
    </w:p>
    <w:p w14:paraId="3750D83B" w14:textId="77777777" w:rsidR="002541AD" w:rsidRDefault="002541AD">
      <w:pPr>
        <w:spacing w:line="288" w:lineRule="auto"/>
        <w:jc w:val="right"/>
        <w:rPr>
          <w:rFonts w:ascii="Times New Roman" w:hAnsi="Times New Roman"/>
          <w:sz w:val="18"/>
          <w:szCs w:val="18"/>
        </w:rPr>
      </w:pPr>
    </w:p>
    <w:p w14:paraId="3750D83C" w14:textId="77777777" w:rsidR="002541AD" w:rsidRDefault="002541AD">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2541AD" w14:paraId="3750D83E" w14:textId="77777777">
        <w:trPr>
          <w:jc w:val="center"/>
        </w:trPr>
        <w:tc>
          <w:tcPr>
            <w:tcW w:w="0" w:type="auto"/>
            <w:shd w:val="clear" w:color="auto" w:fill="auto"/>
            <w:vAlign w:val="center"/>
          </w:tcPr>
          <w:p w14:paraId="3750D83D" w14:textId="77777777" w:rsidR="002541AD" w:rsidRDefault="002541AD">
            <w:pPr>
              <w:rPr>
                <w:rFonts w:ascii="Times New Roman" w:hAnsi="Times New Roman"/>
                <w:sz w:val="20"/>
                <w:szCs w:val="20"/>
              </w:rPr>
            </w:pPr>
          </w:p>
        </w:tc>
      </w:tr>
      <w:tr w:rsidR="002541AD" w14:paraId="3750D840" w14:textId="77777777">
        <w:trPr>
          <w:jc w:val="center"/>
        </w:trPr>
        <w:tc>
          <w:tcPr>
            <w:tcW w:w="5000" w:type="pct"/>
            <w:shd w:val="clear" w:color="auto" w:fill="auto"/>
            <w:vAlign w:val="center"/>
          </w:tcPr>
          <w:p w14:paraId="3750D83F" w14:textId="77777777" w:rsidR="002541AD" w:rsidRDefault="002541AD">
            <w:pPr>
              <w:rPr>
                <w:rFonts w:ascii="Times New Roman" w:hAnsi="Times New Roman"/>
                <w:sz w:val="20"/>
                <w:szCs w:val="20"/>
              </w:rPr>
            </w:pPr>
          </w:p>
        </w:tc>
      </w:tr>
      <w:tr w:rsidR="002541AD" w14:paraId="3750D842" w14:textId="77777777">
        <w:trPr>
          <w:jc w:val="center"/>
        </w:trPr>
        <w:tc>
          <w:tcPr>
            <w:tcW w:w="0" w:type="auto"/>
            <w:shd w:val="clear" w:color="auto" w:fill="0071C5"/>
            <w:tcMar>
              <w:top w:w="40" w:type="dxa"/>
              <w:left w:w="40" w:type="dxa"/>
              <w:bottom w:w="40" w:type="dxa"/>
              <w:right w:w="40" w:type="dxa"/>
            </w:tcMar>
            <w:vAlign w:val="bottom"/>
          </w:tcPr>
          <w:p w14:paraId="3750D841"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rPr>
              <w:t xml:space="preserve">CONSOLIDATED CONDENSED STATEMENTS OF INCOME </w:t>
            </w:r>
          </w:p>
        </w:tc>
      </w:tr>
    </w:tbl>
    <w:p w14:paraId="3750D843" w14:textId="77777777" w:rsidR="002541AD" w:rsidRDefault="002541AD">
      <w:pPr>
        <w:rPr>
          <w:vanish/>
        </w:rPr>
      </w:pPr>
    </w:p>
    <w:tbl>
      <w:tblPr>
        <w:tblW w:w="5000" w:type="pct"/>
        <w:tblCellMar>
          <w:left w:w="0" w:type="dxa"/>
          <w:right w:w="0" w:type="dxa"/>
        </w:tblCellMar>
        <w:tblLook w:val="04A0" w:firstRow="1" w:lastRow="0" w:firstColumn="1" w:lastColumn="0" w:noHBand="0" w:noVBand="1"/>
      </w:tblPr>
      <w:tblGrid>
        <w:gridCol w:w="6064"/>
        <w:gridCol w:w="130"/>
        <w:gridCol w:w="141"/>
        <w:gridCol w:w="750"/>
        <w:gridCol w:w="100"/>
        <w:gridCol w:w="130"/>
        <w:gridCol w:w="141"/>
        <w:gridCol w:w="750"/>
        <w:gridCol w:w="100"/>
      </w:tblGrid>
      <w:tr w:rsidR="002541AD" w14:paraId="3750D845" w14:textId="77777777">
        <w:tc>
          <w:tcPr>
            <w:tcW w:w="0" w:type="auto"/>
            <w:gridSpan w:val="9"/>
            <w:shd w:val="clear" w:color="auto" w:fill="auto"/>
            <w:vAlign w:val="center"/>
          </w:tcPr>
          <w:p w14:paraId="3750D844" w14:textId="77777777" w:rsidR="002541AD" w:rsidRDefault="002541AD">
            <w:pPr>
              <w:rPr>
                <w:rFonts w:ascii="Times New Roman" w:hAnsi="Times New Roman"/>
                <w:sz w:val="20"/>
                <w:szCs w:val="20"/>
              </w:rPr>
            </w:pPr>
          </w:p>
        </w:tc>
      </w:tr>
      <w:tr w:rsidR="002541AD" w14:paraId="3750D84F" w14:textId="77777777">
        <w:tc>
          <w:tcPr>
            <w:tcW w:w="3700" w:type="pct"/>
            <w:shd w:val="clear" w:color="auto" w:fill="auto"/>
            <w:vAlign w:val="center"/>
          </w:tcPr>
          <w:p w14:paraId="3750D846" w14:textId="77777777" w:rsidR="002541AD" w:rsidRDefault="002541AD">
            <w:pPr>
              <w:rPr>
                <w:rFonts w:ascii="Times New Roman" w:hAnsi="Times New Roman"/>
                <w:sz w:val="20"/>
                <w:szCs w:val="20"/>
              </w:rPr>
            </w:pPr>
          </w:p>
        </w:tc>
        <w:tc>
          <w:tcPr>
            <w:tcW w:w="50" w:type="pct"/>
            <w:shd w:val="clear" w:color="auto" w:fill="auto"/>
            <w:vAlign w:val="center"/>
          </w:tcPr>
          <w:p w14:paraId="3750D847" w14:textId="77777777" w:rsidR="002541AD" w:rsidRDefault="002541AD">
            <w:pPr>
              <w:rPr>
                <w:rFonts w:ascii="Times New Roman" w:hAnsi="Times New Roman"/>
                <w:sz w:val="20"/>
                <w:szCs w:val="20"/>
              </w:rPr>
            </w:pPr>
          </w:p>
        </w:tc>
        <w:tc>
          <w:tcPr>
            <w:tcW w:w="50" w:type="pct"/>
            <w:shd w:val="clear" w:color="auto" w:fill="auto"/>
            <w:vAlign w:val="center"/>
          </w:tcPr>
          <w:p w14:paraId="3750D848" w14:textId="77777777" w:rsidR="002541AD" w:rsidRDefault="002541AD">
            <w:pPr>
              <w:rPr>
                <w:rFonts w:ascii="Times New Roman" w:hAnsi="Times New Roman"/>
                <w:sz w:val="20"/>
                <w:szCs w:val="20"/>
              </w:rPr>
            </w:pPr>
          </w:p>
        </w:tc>
        <w:tc>
          <w:tcPr>
            <w:tcW w:w="500" w:type="pct"/>
            <w:shd w:val="clear" w:color="auto" w:fill="auto"/>
            <w:vAlign w:val="center"/>
          </w:tcPr>
          <w:p w14:paraId="3750D849" w14:textId="77777777" w:rsidR="002541AD" w:rsidRDefault="002541AD">
            <w:pPr>
              <w:rPr>
                <w:rFonts w:ascii="Times New Roman" w:hAnsi="Times New Roman"/>
                <w:sz w:val="20"/>
                <w:szCs w:val="20"/>
              </w:rPr>
            </w:pPr>
          </w:p>
        </w:tc>
        <w:tc>
          <w:tcPr>
            <w:tcW w:w="50" w:type="pct"/>
            <w:shd w:val="clear" w:color="auto" w:fill="auto"/>
            <w:vAlign w:val="center"/>
          </w:tcPr>
          <w:p w14:paraId="3750D84A" w14:textId="77777777" w:rsidR="002541AD" w:rsidRDefault="002541AD">
            <w:pPr>
              <w:rPr>
                <w:rFonts w:ascii="Times New Roman" w:hAnsi="Times New Roman"/>
                <w:sz w:val="20"/>
                <w:szCs w:val="20"/>
              </w:rPr>
            </w:pPr>
          </w:p>
        </w:tc>
        <w:tc>
          <w:tcPr>
            <w:tcW w:w="50" w:type="pct"/>
            <w:shd w:val="clear" w:color="auto" w:fill="auto"/>
            <w:vAlign w:val="center"/>
          </w:tcPr>
          <w:p w14:paraId="3750D84B" w14:textId="77777777" w:rsidR="002541AD" w:rsidRDefault="002541AD">
            <w:pPr>
              <w:rPr>
                <w:rFonts w:ascii="Times New Roman" w:hAnsi="Times New Roman"/>
                <w:sz w:val="20"/>
                <w:szCs w:val="20"/>
              </w:rPr>
            </w:pPr>
          </w:p>
        </w:tc>
        <w:tc>
          <w:tcPr>
            <w:tcW w:w="50" w:type="pct"/>
            <w:shd w:val="clear" w:color="auto" w:fill="auto"/>
            <w:vAlign w:val="center"/>
          </w:tcPr>
          <w:p w14:paraId="3750D84C" w14:textId="77777777" w:rsidR="002541AD" w:rsidRDefault="002541AD">
            <w:pPr>
              <w:rPr>
                <w:rFonts w:ascii="Times New Roman" w:hAnsi="Times New Roman"/>
                <w:sz w:val="20"/>
                <w:szCs w:val="20"/>
              </w:rPr>
            </w:pPr>
          </w:p>
        </w:tc>
        <w:tc>
          <w:tcPr>
            <w:tcW w:w="500" w:type="pct"/>
            <w:shd w:val="clear" w:color="auto" w:fill="auto"/>
            <w:vAlign w:val="center"/>
          </w:tcPr>
          <w:p w14:paraId="3750D84D" w14:textId="77777777" w:rsidR="002541AD" w:rsidRDefault="002541AD">
            <w:pPr>
              <w:rPr>
                <w:rFonts w:ascii="Times New Roman" w:hAnsi="Times New Roman"/>
                <w:sz w:val="20"/>
                <w:szCs w:val="20"/>
              </w:rPr>
            </w:pPr>
          </w:p>
        </w:tc>
        <w:tc>
          <w:tcPr>
            <w:tcW w:w="50" w:type="pct"/>
            <w:shd w:val="clear" w:color="auto" w:fill="auto"/>
            <w:vAlign w:val="center"/>
          </w:tcPr>
          <w:p w14:paraId="3750D84E" w14:textId="77777777" w:rsidR="002541AD" w:rsidRDefault="002541AD">
            <w:pPr>
              <w:rPr>
                <w:rFonts w:ascii="Times New Roman" w:hAnsi="Times New Roman"/>
                <w:sz w:val="20"/>
                <w:szCs w:val="20"/>
              </w:rPr>
            </w:pPr>
          </w:p>
        </w:tc>
      </w:tr>
      <w:tr w:rsidR="002541AD" w14:paraId="3750D853" w14:textId="77777777">
        <w:tc>
          <w:tcPr>
            <w:tcW w:w="0" w:type="auto"/>
            <w:shd w:val="clear" w:color="auto" w:fill="auto"/>
            <w:tcMar>
              <w:top w:w="40" w:type="dxa"/>
              <w:left w:w="560" w:type="dxa"/>
              <w:bottom w:w="40" w:type="dxa"/>
              <w:right w:w="40" w:type="dxa"/>
            </w:tcMar>
            <w:vAlign w:val="bottom"/>
          </w:tcPr>
          <w:p w14:paraId="3750D850" w14:textId="77777777" w:rsidR="002541AD" w:rsidRDefault="00901AA6">
            <w:pPr>
              <w:ind w:hanging="240"/>
              <w:textAlignment w:val="bottom"/>
              <w:rPr>
                <w:rFonts w:ascii="Times New Roman" w:hAnsi="Times New Roman"/>
                <w:sz w:val="16"/>
                <w:szCs w:val="16"/>
              </w:rPr>
            </w:pPr>
            <w:r>
              <w:rPr>
                <w:rFonts w:ascii="Arial" w:eastAsia="宋体" w:hAnsi="Arial" w:cs="Arial"/>
                <w:color w:val="333333"/>
                <w:sz w:val="16"/>
                <w:szCs w:val="16"/>
              </w:rPr>
              <w:t> </w:t>
            </w:r>
          </w:p>
        </w:tc>
        <w:tc>
          <w:tcPr>
            <w:tcW w:w="0" w:type="auto"/>
            <w:shd w:val="clear" w:color="auto" w:fill="auto"/>
            <w:tcMar>
              <w:top w:w="40" w:type="dxa"/>
              <w:left w:w="40" w:type="dxa"/>
              <w:bottom w:w="40" w:type="dxa"/>
              <w:right w:w="40" w:type="dxa"/>
            </w:tcMar>
            <w:vAlign w:val="bottom"/>
          </w:tcPr>
          <w:p w14:paraId="3750D85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3750D852"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Three Months Ended</w:t>
            </w:r>
          </w:p>
        </w:tc>
      </w:tr>
      <w:tr w:rsidR="002541AD" w14:paraId="3750D859"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D854"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(In Millions, Except Per Share Amounts; Unaudited)</w:t>
            </w:r>
          </w:p>
        </w:tc>
        <w:tc>
          <w:tcPr>
            <w:tcW w:w="0" w:type="auto"/>
            <w:shd w:val="clear" w:color="auto" w:fill="auto"/>
            <w:tcMar>
              <w:top w:w="40" w:type="dxa"/>
              <w:left w:w="40" w:type="dxa"/>
              <w:bottom w:w="40" w:type="dxa"/>
              <w:right w:w="40" w:type="dxa"/>
            </w:tcMar>
            <w:vAlign w:val="bottom"/>
          </w:tcPr>
          <w:p w14:paraId="3750D85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D856"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c>
          <w:tcPr>
            <w:tcW w:w="0" w:type="auto"/>
            <w:shd w:val="clear" w:color="auto" w:fill="auto"/>
            <w:tcMar>
              <w:top w:w="40" w:type="dxa"/>
              <w:left w:w="40" w:type="dxa"/>
              <w:bottom w:w="40" w:type="dxa"/>
              <w:right w:w="40" w:type="dxa"/>
            </w:tcMar>
            <w:vAlign w:val="bottom"/>
          </w:tcPr>
          <w:p w14:paraId="3750D85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D858"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30, </w:t>
            </w:r>
            <w:r>
              <w:rPr>
                <w:rFonts w:ascii="Arial" w:eastAsia="宋体" w:hAnsi="Arial" w:cs="Arial"/>
                <w:b/>
                <w:bCs/>
                <w:color w:val="333333"/>
                <w:sz w:val="18"/>
                <w:szCs w:val="18"/>
              </w:rPr>
              <w:br/>
              <w:t>2019</w:t>
            </w:r>
          </w:p>
        </w:tc>
      </w:tr>
      <w:tr w:rsidR="002541AD" w14:paraId="3750D863" w14:textId="77777777">
        <w:tc>
          <w:tcPr>
            <w:tcW w:w="0" w:type="auto"/>
            <w:shd w:val="clear" w:color="auto" w:fill="auto"/>
            <w:tcMar>
              <w:top w:w="40" w:type="dxa"/>
              <w:left w:w="40" w:type="dxa"/>
              <w:bottom w:w="40" w:type="dxa"/>
              <w:right w:w="40" w:type="dxa"/>
            </w:tcMar>
          </w:tcPr>
          <w:p w14:paraId="3750D85A"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Net revenue</w:t>
            </w:r>
          </w:p>
        </w:tc>
        <w:tc>
          <w:tcPr>
            <w:tcW w:w="0" w:type="auto"/>
            <w:shd w:val="clear" w:color="auto" w:fill="auto"/>
            <w:tcMar>
              <w:top w:w="40" w:type="dxa"/>
              <w:left w:w="40" w:type="dxa"/>
              <w:bottom w:w="40" w:type="dxa"/>
              <w:right w:w="40" w:type="dxa"/>
            </w:tcMar>
            <w:vAlign w:val="bottom"/>
          </w:tcPr>
          <w:p w14:paraId="3750D85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85C"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3750D85D"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19,828</w:t>
            </w:r>
          </w:p>
        </w:tc>
        <w:tc>
          <w:tcPr>
            <w:tcW w:w="0" w:type="auto"/>
            <w:shd w:val="clear" w:color="auto" w:fill="auto"/>
            <w:vAlign w:val="bottom"/>
          </w:tcPr>
          <w:p w14:paraId="3750D85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85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860"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3750D861"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16,061</w:t>
            </w:r>
          </w:p>
        </w:tc>
        <w:tc>
          <w:tcPr>
            <w:tcW w:w="0" w:type="auto"/>
            <w:shd w:val="clear" w:color="auto" w:fill="auto"/>
            <w:vAlign w:val="bottom"/>
          </w:tcPr>
          <w:p w14:paraId="3750D862" w14:textId="77777777" w:rsidR="002541AD" w:rsidRDefault="002541AD">
            <w:pPr>
              <w:textAlignment w:val="bottom"/>
              <w:rPr>
                <w:rFonts w:ascii="Times New Roman" w:hAnsi="Times New Roman"/>
                <w:sz w:val="20"/>
                <w:szCs w:val="20"/>
              </w:rPr>
            </w:pPr>
          </w:p>
        </w:tc>
      </w:tr>
      <w:tr w:rsidR="002541AD" w14:paraId="3750D86B" w14:textId="77777777">
        <w:tc>
          <w:tcPr>
            <w:tcW w:w="0" w:type="auto"/>
            <w:shd w:val="clear" w:color="auto" w:fill="auto"/>
            <w:tcMar>
              <w:top w:w="40" w:type="dxa"/>
              <w:left w:w="40" w:type="dxa"/>
              <w:bottom w:w="40" w:type="dxa"/>
              <w:right w:w="40" w:type="dxa"/>
            </w:tcMar>
          </w:tcPr>
          <w:p w14:paraId="3750D864"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Cost of sales</w:t>
            </w:r>
          </w:p>
        </w:tc>
        <w:tc>
          <w:tcPr>
            <w:tcW w:w="0" w:type="auto"/>
            <w:shd w:val="clear" w:color="auto" w:fill="auto"/>
            <w:tcMar>
              <w:top w:w="40" w:type="dxa"/>
              <w:left w:w="40" w:type="dxa"/>
              <w:bottom w:w="40" w:type="dxa"/>
              <w:right w:w="40" w:type="dxa"/>
            </w:tcMar>
            <w:vAlign w:val="bottom"/>
          </w:tcPr>
          <w:p w14:paraId="3750D86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D86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7,812</w:t>
            </w:r>
          </w:p>
        </w:tc>
        <w:tc>
          <w:tcPr>
            <w:tcW w:w="0" w:type="auto"/>
            <w:tcBorders>
              <w:bottom w:val="single" w:sz="8" w:space="0" w:color="333333"/>
            </w:tcBorders>
            <w:shd w:val="clear" w:color="auto" w:fill="auto"/>
            <w:vAlign w:val="bottom"/>
          </w:tcPr>
          <w:p w14:paraId="3750D86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86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D86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6,972</w:t>
            </w:r>
          </w:p>
        </w:tc>
        <w:tc>
          <w:tcPr>
            <w:tcW w:w="0" w:type="auto"/>
            <w:tcBorders>
              <w:bottom w:val="single" w:sz="8" w:space="0" w:color="333333"/>
            </w:tcBorders>
            <w:shd w:val="clear" w:color="auto" w:fill="auto"/>
            <w:vAlign w:val="bottom"/>
          </w:tcPr>
          <w:p w14:paraId="3750D86A" w14:textId="77777777" w:rsidR="002541AD" w:rsidRDefault="002541AD">
            <w:pPr>
              <w:textAlignment w:val="bottom"/>
              <w:rPr>
                <w:rFonts w:ascii="Times New Roman" w:hAnsi="Times New Roman"/>
                <w:sz w:val="20"/>
                <w:szCs w:val="20"/>
              </w:rPr>
            </w:pPr>
          </w:p>
        </w:tc>
      </w:tr>
      <w:tr w:rsidR="002541AD" w14:paraId="3750D873" w14:textId="77777777">
        <w:tc>
          <w:tcPr>
            <w:tcW w:w="0" w:type="auto"/>
            <w:shd w:val="clear" w:color="auto" w:fill="auto"/>
            <w:tcMar>
              <w:top w:w="40" w:type="dxa"/>
              <w:left w:w="40" w:type="dxa"/>
              <w:bottom w:w="40" w:type="dxa"/>
              <w:right w:w="40" w:type="dxa"/>
            </w:tcMar>
          </w:tcPr>
          <w:p w14:paraId="3750D86C"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Gross margin</w:t>
            </w:r>
          </w:p>
        </w:tc>
        <w:tc>
          <w:tcPr>
            <w:tcW w:w="0" w:type="auto"/>
            <w:shd w:val="clear" w:color="auto" w:fill="auto"/>
            <w:tcMar>
              <w:top w:w="40" w:type="dxa"/>
              <w:left w:w="40" w:type="dxa"/>
              <w:bottom w:w="40" w:type="dxa"/>
              <w:right w:w="40" w:type="dxa"/>
            </w:tcMar>
            <w:vAlign w:val="bottom"/>
          </w:tcPr>
          <w:p w14:paraId="3750D86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D86E"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12,016</w:t>
            </w:r>
          </w:p>
        </w:tc>
        <w:tc>
          <w:tcPr>
            <w:tcW w:w="0" w:type="auto"/>
            <w:tcBorders>
              <w:bottom w:val="single" w:sz="8" w:space="0" w:color="333333"/>
            </w:tcBorders>
            <w:shd w:val="clear" w:color="auto" w:fill="auto"/>
            <w:vAlign w:val="bottom"/>
          </w:tcPr>
          <w:p w14:paraId="3750D86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87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D871"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9,089</w:t>
            </w:r>
          </w:p>
        </w:tc>
        <w:tc>
          <w:tcPr>
            <w:tcW w:w="0" w:type="auto"/>
            <w:tcBorders>
              <w:bottom w:val="single" w:sz="8" w:space="0" w:color="333333"/>
            </w:tcBorders>
            <w:shd w:val="clear" w:color="auto" w:fill="auto"/>
            <w:vAlign w:val="bottom"/>
          </w:tcPr>
          <w:p w14:paraId="3750D872" w14:textId="77777777" w:rsidR="002541AD" w:rsidRDefault="002541AD">
            <w:pPr>
              <w:textAlignment w:val="bottom"/>
              <w:rPr>
                <w:rFonts w:ascii="Times New Roman" w:hAnsi="Times New Roman"/>
                <w:sz w:val="20"/>
                <w:szCs w:val="20"/>
              </w:rPr>
            </w:pPr>
          </w:p>
        </w:tc>
      </w:tr>
      <w:tr w:rsidR="002541AD" w14:paraId="3750D87B" w14:textId="77777777">
        <w:tc>
          <w:tcPr>
            <w:tcW w:w="0" w:type="auto"/>
            <w:shd w:val="clear" w:color="auto" w:fill="auto"/>
            <w:tcMar>
              <w:top w:w="40" w:type="dxa"/>
              <w:left w:w="40" w:type="dxa"/>
              <w:bottom w:w="40" w:type="dxa"/>
              <w:right w:w="40" w:type="dxa"/>
            </w:tcMar>
          </w:tcPr>
          <w:p w14:paraId="3750D874"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Research and development</w:t>
            </w:r>
          </w:p>
        </w:tc>
        <w:tc>
          <w:tcPr>
            <w:tcW w:w="0" w:type="auto"/>
            <w:shd w:val="clear" w:color="auto" w:fill="auto"/>
            <w:tcMar>
              <w:top w:w="40" w:type="dxa"/>
              <w:left w:w="40" w:type="dxa"/>
              <w:bottom w:w="40" w:type="dxa"/>
              <w:right w:w="40" w:type="dxa"/>
            </w:tcMar>
            <w:vAlign w:val="bottom"/>
          </w:tcPr>
          <w:p w14:paraId="3750D87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87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3,275</w:t>
            </w:r>
          </w:p>
        </w:tc>
        <w:tc>
          <w:tcPr>
            <w:tcW w:w="0" w:type="auto"/>
            <w:shd w:val="clear" w:color="auto" w:fill="auto"/>
            <w:vAlign w:val="bottom"/>
          </w:tcPr>
          <w:p w14:paraId="3750D87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87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87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3,332</w:t>
            </w:r>
          </w:p>
        </w:tc>
        <w:tc>
          <w:tcPr>
            <w:tcW w:w="0" w:type="auto"/>
            <w:shd w:val="clear" w:color="auto" w:fill="auto"/>
            <w:vAlign w:val="bottom"/>
          </w:tcPr>
          <w:p w14:paraId="3750D87A" w14:textId="77777777" w:rsidR="002541AD" w:rsidRDefault="002541AD">
            <w:pPr>
              <w:textAlignment w:val="bottom"/>
              <w:rPr>
                <w:rFonts w:ascii="Times New Roman" w:hAnsi="Times New Roman"/>
                <w:sz w:val="20"/>
                <w:szCs w:val="20"/>
              </w:rPr>
            </w:pPr>
          </w:p>
        </w:tc>
      </w:tr>
      <w:tr w:rsidR="002541AD" w14:paraId="3750D883" w14:textId="77777777">
        <w:tc>
          <w:tcPr>
            <w:tcW w:w="0" w:type="auto"/>
            <w:shd w:val="clear" w:color="auto" w:fill="auto"/>
            <w:tcMar>
              <w:top w:w="40" w:type="dxa"/>
              <w:left w:w="40" w:type="dxa"/>
              <w:bottom w:w="40" w:type="dxa"/>
              <w:right w:w="40" w:type="dxa"/>
            </w:tcMar>
          </w:tcPr>
          <w:p w14:paraId="3750D87C"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Marketing, general and administrative</w:t>
            </w:r>
          </w:p>
        </w:tc>
        <w:tc>
          <w:tcPr>
            <w:tcW w:w="0" w:type="auto"/>
            <w:shd w:val="clear" w:color="auto" w:fill="auto"/>
            <w:tcMar>
              <w:top w:w="40" w:type="dxa"/>
              <w:left w:w="40" w:type="dxa"/>
              <w:bottom w:w="40" w:type="dxa"/>
              <w:right w:w="40" w:type="dxa"/>
            </w:tcMar>
            <w:vAlign w:val="bottom"/>
          </w:tcPr>
          <w:p w14:paraId="3750D87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87E"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1,541</w:t>
            </w:r>
          </w:p>
        </w:tc>
        <w:tc>
          <w:tcPr>
            <w:tcW w:w="0" w:type="auto"/>
            <w:shd w:val="clear" w:color="auto" w:fill="auto"/>
            <w:vAlign w:val="bottom"/>
          </w:tcPr>
          <w:p w14:paraId="3750D87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88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881"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1,583</w:t>
            </w:r>
          </w:p>
        </w:tc>
        <w:tc>
          <w:tcPr>
            <w:tcW w:w="0" w:type="auto"/>
            <w:shd w:val="clear" w:color="auto" w:fill="auto"/>
            <w:vAlign w:val="bottom"/>
          </w:tcPr>
          <w:p w14:paraId="3750D882" w14:textId="77777777" w:rsidR="002541AD" w:rsidRDefault="002541AD">
            <w:pPr>
              <w:textAlignment w:val="bottom"/>
              <w:rPr>
                <w:rFonts w:ascii="Times New Roman" w:hAnsi="Times New Roman"/>
                <w:sz w:val="20"/>
                <w:szCs w:val="20"/>
              </w:rPr>
            </w:pPr>
          </w:p>
        </w:tc>
      </w:tr>
      <w:tr w:rsidR="002541AD" w14:paraId="3750D88B" w14:textId="77777777">
        <w:tc>
          <w:tcPr>
            <w:tcW w:w="0" w:type="auto"/>
            <w:shd w:val="clear" w:color="auto" w:fill="auto"/>
            <w:tcMar>
              <w:top w:w="40" w:type="dxa"/>
              <w:left w:w="40" w:type="dxa"/>
              <w:bottom w:w="40" w:type="dxa"/>
              <w:right w:w="40" w:type="dxa"/>
            </w:tcMar>
          </w:tcPr>
          <w:p w14:paraId="3750D884"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Restructuring and other charges</w:t>
            </w:r>
          </w:p>
        </w:tc>
        <w:tc>
          <w:tcPr>
            <w:tcW w:w="0" w:type="auto"/>
            <w:shd w:val="clear" w:color="auto" w:fill="auto"/>
            <w:tcMar>
              <w:top w:w="40" w:type="dxa"/>
              <w:left w:w="40" w:type="dxa"/>
              <w:bottom w:w="40" w:type="dxa"/>
              <w:right w:w="40" w:type="dxa"/>
            </w:tcMar>
            <w:vAlign w:val="bottom"/>
          </w:tcPr>
          <w:p w14:paraId="3750D88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88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162</w:t>
            </w:r>
          </w:p>
        </w:tc>
        <w:tc>
          <w:tcPr>
            <w:tcW w:w="0" w:type="auto"/>
            <w:shd w:val="clear" w:color="auto" w:fill="auto"/>
            <w:vAlign w:val="bottom"/>
          </w:tcPr>
          <w:p w14:paraId="3750D88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88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88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88A" w14:textId="77777777" w:rsidR="002541AD" w:rsidRDefault="002541AD">
            <w:pPr>
              <w:textAlignment w:val="bottom"/>
              <w:rPr>
                <w:rFonts w:ascii="Times New Roman" w:hAnsi="Times New Roman"/>
                <w:sz w:val="20"/>
                <w:szCs w:val="20"/>
              </w:rPr>
            </w:pPr>
          </w:p>
        </w:tc>
      </w:tr>
      <w:tr w:rsidR="002541AD" w14:paraId="3750D893" w14:textId="77777777">
        <w:tc>
          <w:tcPr>
            <w:tcW w:w="0" w:type="auto"/>
            <w:shd w:val="clear" w:color="auto" w:fill="auto"/>
            <w:tcMar>
              <w:top w:w="40" w:type="dxa"/>
              <w:left w:w="40" w:type="dxa"/>
              <w:bottom w:w="40" w:type="dxa"/>
              <w:right w:w="40" w:type="dxa"/>
            </w:tcMar>
          </w:tcPr>
          <w:p w14:paraId="3750D88C"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Operating expenses</w:t>
            </w:r>
          </w:p>
        </w:tc>
        <w:tc>
          <w:tcPr>
            <w:tcW w:w="0" w:type="auto"/>
            <w:shd w:val="clear" w:color="auto" w:fill="auto"/>
            <w:tcMar>
              <w:top w:w="40" w:type="dxa"/>
              <w:left w:w="40" w:type="dxa"/>
              <w:bottom w:w="40" w:type="dxa"/>
              <w:right w:w="40" w:type="dxa"/>
            </w:tcMar>
            <w:vAlign w:val="bottom"/>
          </w:tcPr>
          <w:p w14:paraId="3750D88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D88E"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4,978</w:t>
            </w:r>
          </w:p>
        </w:tc>
        <w:tc>
          <w:tcPr>
            <w:tcW w:w="0" w:type="auto"/>
            <w:tcBorders>
              <w:top w:val="single" w:sz="8" w:space="0" w:color="333333"/>
              <w:bottom w:val="single" w:sz="8" w:space="0" w:color="333333"/>
            </w:tcBorders>
            <w:shd w:val="clear" w:color="auto" w:fill="auto"/>
            <w:vAlign w:val="bottom"/>
          </w:tcPr>
          <w:p w14:paraId="3750D88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89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D891"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4,915</w:t>
            </w:r>
          </w:p>
        </w:tc>
        <w:tc>
          <w:tcPr>
            <w:tcW w:w="0" w:type="auto"/>
            <w:tcBorders>
              <w:top w:val="single" w:sz="8" w:space="0" w:color="333333"/>
              <w:bottom w:val="single" w:sz="8" w:space="0" w:color="333333"/>
            </w:tcBorders>
            <w:shd w:val="clear" w:color="auto" w:fill="auto"/>
            <w:vAlign w:val="bottom"/>
          </w:tcPr>
          <w:p w14:paraId="3750D892" w14:textId="77777777" w:rsidR="002541AD" w:rsidRDefault="002541AD">
            <w:pPr>
              <w:textAlignment w:val="bottom"/>
              <w:rPr>
                <w:rFonts w:ascii="Times New Roman" w:hAnsi="Times New Roman"/>
                <w:sz w:val="20"/>
                <w:szCs w:val="20"/>
              </w:rPr>
            </w:pPr>
          </w:p>
        </w:tc>
      </w:tr>
      <w:tr w:rsidR="002541AD" w14:paraId="3750D89B" w14:textId="77777777">
        <w:tc>
          <w:tcPr>
            <w:tcW w:w="0" w:type="auto"/>
            <w:shd w:val="clear" w:color="auto" w:fill="auto"/>
            <w:tcMar>
              <w:top w:w="40" w:type="dxa"/>
              <w:left w:w="40" w:type="dxa"/>
              <w:bottom w:w="40" w:type="dxa"/>
              <w:right w:w="40" w:type="dxa"/>
            </w:tcMar>
          </w:tcPr>
          <w:p w14:paraId="3750D894"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Operating income</w:t>
            </w:r>
          </w:p>
        </w:tc>
        <w:tc>
          <w:tcPr>
            <w:tcW w:w="0" w:type="auto"/>
            <w:shd w:val="clear" w:color="auto" w:fill="auto"/>
            <w:tcMar>
              <w:top w:w="40" w:type="dxa"/>
              <w:left w:w="40" w:type="dxa"/>
              <w:bottom w:w="40" w:type="dxa"/>
              <w:right w:w="40" w:type="dxa"/>
            </w:tcMar>
            <w:vAlign w:val="bottom"/>
          </w:tcPr>
          <w:p w14:paraId="3750D89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896"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7,038</w:t>
            </w:r>
          </w:p>
        </w:tc>
        <w:tc>
          <w:tcPr>
            <w:tcW w:w="0" w:type="auto"/>
            <w:shd w:val="clear" w:color="auto" w:fill="auto"/>
            <w:vAlign w:val="bottom"/>
          </w:tcPr>
          <w:p w14:paraId="3750D89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89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899"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4,174</w:t>
            </w:r>
          </w:p>
        </w:tc>
        <w:tc>
          <w:tcPr>
            <w:tcW w:w="0" w:type="auto"/>
            <w:shd w:val="clear" w:color="auto" w:fill="auto"/>
            <w:vAlign w:val="bottom"/>
          </w:tcPr>
          <w:p w14:paraId="3750D89A" w14:textId="77777777" w:rsidR="002541AD" w:rsidRDefault="002541AD">
            <w:pPr>
              <w:textAlignment w:val="bottom"/>
              <w:rPr>
                <w:rFonts w:ascii="Times New Roman" w:hAnsi="Times New Roman"/>
                <w:sz w:val="20"/>
                <w:szCs w:val="20"/>
              </w:rPr>
            </w:pPr>
          </w:p>
        </w:tc>
      </w:tr>
      <w:tr w:rsidR="002541AD" w14:paraId="3750D8A3" w14:textId="77777777">
        <w:tc>
          <w:tcPr>
            <w:tcW w:w="0" w:type="auto"/>
            <w:shd w:val="clear" w:color="auto" w:fill="auto"/>
            <w:tcMar>
              <w:top w:w="40" w:type="dxa"/>
              <w:left w:w="40" w:type="dxa"/>
              <w:bottom w:w="40" w:type="dxa"/>
              <w:right w:w="40" w:type="dxa"/>
            </w:tcMar>
          </w:tcPr>
          <w:p w14:paraId="3750D89C"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 xml:space="preserve">Gains </w:t>
            </w:r>
            <w:r>
              <w:rPr>
                <w:rFonts w:ascii="Arial" w:eastAsia="宋体" w:hAnsi="Arial" w:cs="Arial"/>
                <w:color w:val="333333"/>
                <w:sz w:val="18"/>
                <w:szCs w:val="18"/>
              </w:rPr>
              <w:t>(losses) on equity investments, net</w:t>
            </w:r>
          </w:p>
        </w:tc>
        <w:tc>
          <w:tcPr>
            <w:tcW w:w="0" w:type="auto"/>
            <w:shd w:val="clear" w:color="auto" w:fill="auto"/>
            <w:tcMar>
              <w:top w:w="40" w:type="dxa"/>
              <w:left w:w="40" w:type="dxa"/>
              <w:bottom w:w="40" w:type="dxa"/>
              <w:right w:w="40" w:type="dxa"/>
            </w:tcMar>
            <w:vAlign w:val="bottom"/>
          </w:tcPr>
          <w:p w14:paraId="3750D89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89E"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(111</w:t>
            </w:r>
          </w:p>
        </w:tc>
        <w:tc>
          <w:tcPr>
            <w:tcW w:w="0" w:type="auto"/>
            <w:shd w:val="clear" w:color="auto" w:fill="auto"/>
            <w:tcMar>
              <w:top w:w="40" w:type="dxa"/>
              <w:bottom w:w="40" w:type="dxa"/>
              <w:right w:w="40" w:type="dxa"/>
            </w:tcMar>
            <w:vAlign w:val="bottom"/>
          </w:tcPr>
          <w:p w14:paraId="3750D89F"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8A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8A1"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434</w:t>
            </w:r>
          </w:p>
        </w:tc>
        <w:tc>
          <w:tcPr>
            <w:tcW w:w="0" w:type="auto"/>
            <w:shd w:val="clear" w:color="auto" w:fill="auto"/>
            <w:vAlign w:val="bottom"/>
          </w:tcPr>
          <w:p w14:paraId="3750D8A2" w14:textId="77777777" w:rsidR="002541AD" w:rsidRDefault="002541AD">
            <w:pPr>
              <w:textAlignment w:val="bottom"/>
              <w:rPr>
                <w:rFonts w:ascii="Times New Roman" w:hAnsi="Times New Roman"/>
                <w:sz w:val="20"/>
                <w:szCs w:val="20"/>
              </w:rPr>
            </w:pPr>
          </w:p>
        </w:tc>
      </w:tr>
      <w:tr w:rsidR="002541AD" w14:paraId="3750D8AB" w14:textId="77777777">
        <w:tc>
          <w:tcPr>
            <w:tcW w:w="0" w:type="auto"/>
            <w:shd w:val="clear" w:color="auto" w:fill="auto"/>
            <w:tcMar>
              <w:top w:w="40" w:type="dxa"/>
              <w:left w:w="40" w:type="dxa"/>
              <w:bottom w:w="40" w:type="dxa"/>
              <w:right w:w="40" w:type="dxa"/>
            </w:tcMar>
          </w:tcPr>
          <w:p w14:paraId="3750D8A4"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Interest and other, net</w:t>
            </w:r>
          </w:p>
        </w:tc>
        <w:tc>
          <w:tcPr>
            <w:tcW w:w="0" w:type="auto"/>
            <w:shd w:val="clear" w:color="auto" w:fill="auto"/>
            <w:tcMar>
              <w:top w:w="40" w:type="dxa"/>
              <w:left w:w="40" w:type="dxa"/>
              <w:bottom w:w="40" w:type="dxa"/>
              <w:right w:w="40" w:type="dxa"/>
            </w:tcMar>
            <w:vAlign w:val="bottom"/>
          </w:tcPr>
          <w:p w14:paraId="3750D8A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D8A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(313</w:t>
            </w:r>
          </w:p>
        </w:tc>
        <w:tc>
          <w:tcPr>
            <w:tcW w:w="0" w:type="auto"/>
            <w:tcBorders>
              <w:bottom w:val="single" w:sz="8" w:space="0" w:color="333333"/>
            </w:tcBorders>
            <w:shd w:val="clear" w:color="auto" w:fill="auto"/>
            <w:tcMar>
              <w:top w:w="40" w:type="dxa"/>
              <w:bottom w:w="40" w:type="dxa"/>
              <w:right w:w="40" w:type="dxa"/>
            </w:tcMar>
            <w:vAlign w:val="bottom"/>
          </w:tcPr>
          <w:p w14:paraId="3750D8A7"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8A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D8A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(61</w:t>
            </w:r>
          </w:p>
        </w:tc>
        <w:tc>
          <w:tcPr>
            <w:tcW w:w="0" w:type="auto"/>
            <w:tcBorders>
              <w:bottom w:val="single" w:sz="8" w:space="0" w:color="333333"/>
            </w:tcBorders>
            <w:shd w:val="clear" w:color="auto" w:fill="auto"/>
            <w:tcMar>
              <w:top w:w="40" w:type="dxa"/>
              <w:bottom w:w="40" w:type="dxa"/>
              <w:right w:w="40" w:type="dxa"/>
            </w:tcMar>
            <w:vAlign w:val="bottom"/>
          </w:tcPr>
          <w:p w14:paraId="3750D8AA"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D8B3" w14:textId="77777777">
        <w:tc>
          <w:tcPr>
            <w:tcW w:w="0" w:type="auto"/>
            <w:shd w:val="clear" w:color="auto" w:fill="auto"/>
            <w:tcMar>
              <w:top w:w="40" w:type="dxa"/>
              <w:left w:w="40" w:type="dxa"/>
              <w:bottom w:w="40" w:type="dxa"/>
              <w:right w:w="40" w:type="dxa"/>
            </w:tcMar>
          </w:tcPr>
          <w:p w14:paraId="3750D8AC"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Income before taxes</w:t>
            </w:r>
          </w:p>
        </w:tc>
        <w:tc>
          <w:tcPr>
            <w:tcW w:w="0" w:type="auto"/>
            <w:shd w:val="clear" w:color="auto" w:fill="auto"/>
            <w:tcMar>
              <w:top w:w="40" w:type="dxa"/>
              <w:left w:w="40" w:type="dxa"/>
              <w:bottom w:w="40" w:type="dxa"/>
              <w:right w:w="40" w:type="dxa"/>
            </w:tcMar>
            <w:vAlign w:val="bottom"/>
          </w:tcPr>
          <w:p w14:paraId="3750D8A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8AE"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6,614</w:t>
            </w:r>
          </w:p>
        </w:tc>
        <w:tc>
          <w:tcPr>
            <w:tcW w:w="0" w:type="auto"/>
            <w:shd w:val="clear" w:color="auto" w:fill="auto"/>
            <w:vAlign w:val="bottom"/>
          </w:tcPr>
          <w:p w14:paraId="3750D8A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8B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8B1"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4,547</w:t>
            </w:r>
          </w:p>
        </w:tc>
        <w:tc>
          <w:tcPr>
            <w:tcW w:w="0" w:type="auto"/>
            <w:shd w:val="clear" w:color="auto" w:fill="auto"/>
            <w:vAlign w:val="bottom"/>
          </w:tcPr>
          <w:p w14:paraId="3750D8B2" w14:textId="77777777" w:rsidR="002541AD" w:rsidRDefault="002541AD">
            <w:pPr>
              <w:textAlignment w:val="bottom"/>
              <w:rPr>
                <w:rFonts w:ascii="Times New Roman" w:hAnsi="Times New Roman"/>
                <w:sz w:val="20"/>
                <w:szCs w:val="20"/>
              </w:rPr>
            </w:pPr>
          </w:p>
        </w:tc>
      </w:tr>
      <w:tr w:rsidR="002541AD" w14:paraId="3750D8BB" w14:textId="77777777">
        <w:tc>
          <w:tcPr>
            <w:tcW w:w="0" w:type="auto"/>
            <w:shd w:val="clear" w:color="auto" w:fill="auto"/>
            <w:tcMar>
              <w:top w:w="40" w:type="dxa"/>
              <w:left w:w="40" w:type="dxa"/>
              <w:bottom w:w="40" w:type="dxa"/>
              <w:right w:w="40" w:type="dxa"/>
            </w:tcMar>
          </w:tcPr>
          <w:p w14:paraId="3750D8B4"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Provision for taxes</w:t>
            </w:r>
          </w:p>
        </w:tc>
        <w:tc>
          <w:tcPr>
            <w:tcW w:w="0" w:type="auto"/>
            <w:shd w:val="clear" w:color="auto" w:fill="auto"/>
            <w:tcMar>
              <w:top w:w="40" w:type="dxa"/>
              <w:left w:w="40" w:type="dxa"/>
              <w:bottom w:w="40" w:type="dxa"/>
              <w:right w:w="40" w:type="dxa"/>
            </w:tcMar>
            <w:vAlign w:val="bottom"/>
          </w:tcPr>
          <w:p w14:paraId="3750D8B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8B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953</w:t>
            </w:r>
          </w:p>
        </w:tc>
        <w:tc>
          <w:tcPr>
            <w:tcW w:w="0" w:type="auto"/>
            <w:shd w:val="clear" w:color="auto" w:fill="auto"/>
            <w:vAlign w:val="bottom"/>
          </w:tcPr>
          <w:p w14:paraId="3750D8B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8B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8B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573</w:t>
            </w:r>
          </w:p>
        </w:tc>
        <w:tc>
          <w:tcPr>
            <w:tcW w:w="0" w:type="auto"/>
            <w:shd w:val="clear" w:color="auto" w:fill="auto"/>
            <w:vAlign w:val="bottom"/>
          </w:tcPr>
          <w:p w14:paraId="3750D8BA" w14:textId="77777777" w:rsidR="002541AD" w:rsidRDefault="002541AD">
            <w:pPr>
              <w:textAlignment w:val="bottom"/>
              <w:rPr>
                <w:rFonts w:ascii="Times New Roman" w:hAnsi="Times New Roman"/>
                <w:sz w:val="20"/>
                <w:szCs w:val="20"/>
              </w:rPr>
            </w:pPr>
          </w:p>
        </w:tc>
      </w:tr>
      <w:tr w:rsidR="002541AD" w14:paraId="3750D8C5" w14:textId="77777777">
        <w:tc>
          <w:tcPr>
            <w:tcW w:w="0" w:type="auto"/>
            <w:shd w:val="clear" w:color="auto" w:fill="auto"/>
            <w:tcMar>
              <w:top w:w="40" w:type="dxa"/>
              <w:left w:w="40" w:type="dxa"/>
              <w:bottom w:w="40" w:type="dxa"/>
              <w:right w:w="40" w:type="dxa"/>
            </w:tcMar>
          </w:tcPr>
          <w:p w14:paraId="3750D8BC"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Net income</w:t>
            </w:r>
          </w:p>
        </w:tc>
        <w:tc>
          <w:tcPr>
            <w:tcW w:w="0" w:type="auto"/>
            <w:shd w:val="clear" w:color="auto" w:fill="auto"/>
            <w:tcMar>
              <w:top w:w="40" w:type="dxa"/>
              <w:left w:w="40" w:type="dxa"/>
              <w:bottom w:w="40" w:type="dxa"/>
              <w:right w:w="40" w:type="dxa"/>
            </w:tcMar>
            <w:vAlign w:val="bottom"/>
          </w:tcPr>
          <w:p w14:paraId="3750D8B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D8BE"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D8BF"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5,661</w:t>
            </w:r>
          </w:p>
        </w:tc>
        <w:tc>
          <w:tcPr>
            <w:tcW w:w="0" w:type="auto"/>
            <w:tcBorders>
              <w:top w:val="single" w:sz="8" w:space="0" w:color="333333"/>
              <w:bottom w:val="double" w:sz="6" w:space="0" w:color="333333"/>
            </w:tcBorders>
            <w:shd w:val="clear" w:color="auto" w:fill="auto"/>
            <w:vAlign w:val="bottom"/>
          </w:tcPr>
          <w:p w14:paraId="3750D8C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8C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D8C2"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D8C3"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3,974</w:t>
            </w:r>
          </w:p>
        </w:tc>
        <w:tc>
          <w:tcPr>
            <w:tcW w:w="0" w:type="auto"/>
            <w:tcBorders>
              <w:top w:val="single" w:sz="8" w:space="0" w:color="333333"/>
              <w:bottom w:val="double" w:sz="6" w:space="0" w:color="333333"/>
            </w:tcBorders>
            <w:shd w:val="clear" w:color="auto" w:fill="auto"/>
            <w:vAlign w:val="bottom"/>
          </w:tcPr>
          <w:p w14:paraId="3750D8C4" w14:textId="77777777" w:rsidR="002541AD" w:rsidRDefault="002541AD">
            <w:pPr>
              <w:textAlignment w:val="bottom"/>
              <w:rPr>
                <w:rFonts w:ascii="Times New Roman" w:hAnsi="Times New Roman"/>
                <w:sz w:val="20"/>
                <w:szCs w:val="20"/>
              </w:rPr>
            </w:pPr>
          </w:p>
        </w:tc>
      </w:tr>
      <w:tr w:rsidR="002541AD" w14:paraId="3750D8CF" w14:textId="77777777">
        <w:tc>
          <w:tcPr>
            <w:tcW w:w="0" w:type="auto"/>
            <w:shd w:val="clear" w:color="auto" w:fill="auto"/>
            <w:tcMar>
              <w:top w:w="40" w:type="dxa"/>
              <w:left w:w="40" w:type="dxa"/>
              <w:bottom w:w="40" w:type="dxa"/>
              <w:right w:w="40" w:type="dxa"/>
            </w:tcMar>
          </w:tcPr>
          <w:p w14:paraId="3750D8C6" w14:textId="77777777" w:rsidR="002541AD" w:rsidRDefault="00901AA6">
            <w:pPr>
              <w:textAlignment w:val="top"/>
              <w:rPr>
                <w:rFonts w:ascii="Times New Roman" w:hAnsi="Times New Roman"/>
                <w:sz w:val="18"/>
                <w:szCs w:val="18"/>
              </w:rPr>
            </w:pPr>
            <w:r>
              <w:rPr>
                <w:rFonts w:ascii="Arial" w:eastAsia="宋体" w:hAnsi="Arial" w:cs="Arial"/>
                <w:b/>
                <w:bCs/>
                <w:color w:val="333333"/>
                <w:sz w:val="18"/>
                <w:szCs w:val="18"/>
              </w:rPr>
              <w:t>Earnings per share—basic</w:t>
            </w:r>
          </w:p>
        </w:tc>
        <w:tc>
          <w:tcPr>
            <w:tcW w:w="0" w:type="auto"/>
            <w:shd w:val="clear" w:color="auto" w:fill="auto"/>
            <w:tcMar>
              <w:top w:w="40" w:type="dxa"/>
              <w:left w:w="40" w:type="dxa"/>
              <w:bottom w:w="40" w:type="dxa"/>
              <w:right w:w="40" w:type="dxa"/>
            </w:tcMar>
            <w:vAlign w:val="bottom"/>
          </w:tcPr>
          <w:p w14:paraId="3750D8C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3750D8C8"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3750D8C9"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1.33</w:t>
            </w:r>
          </w:p>
        </w:tc>
        <w:tc>
          <w:tcPr>
            <w:tcW w:w="0" w:type="auto"/>
            <w:tcBorders>
              <w:bottom w:val="double" w:sz="6" w:space="0" w:color="333333"/>
            </w:tcBorders>
            <w:shd w:val="clear" w:color="auto" w:fill="auto"/>
            <w:vAlign w:val="bottom"/>
          </w:tcPr>
          <w:p w14:paraId="3750D8C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8C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8CC"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3750D8CD"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0.88</w:t>
            </w:r>
          </w:p>
        </w:tc>
        <w:tc>
          <w:tcPr>
            <w:tcW w:w="0" w:type="auto"/>
            <w:shd w:val="clear" w:color="auto" w:fill="auto"/>
            <w:vAlign w:val="bottom"/>
          </w:tcPr>
          <w:p w14:paraId="3750D8CE" w14:textId="77777777" w:rsidR="002541AD" w:rsidRDefault="002541AD">
            <w:pPr>
              <w:textAlignment w:val="bottom"/>
              <w:rPr>
                <w:rFonts w:ascii="Times New Roman" w:hAnsi="Times New Roman"/>
                <w:sz w:val="20"/>
                <w:szCs w:val="20"/>
              </w:rPr>
            </w:pPr>
          </w:p>
        </w:tc>
      </w:tr>
      <w:tr w:rsidR="002541AD" w14:paraId="3750D8D9" w14:textId="77777777">
        <w:tc>
          <w:tcPr>
            <w:tcW w:w="0" w:type="auto"/>
            <w:shd w:val="clear" w:color="auto" w:fill="auto"/>
            <w:tcMar>
              <w:top w:w="40" w:type="dxa"/>
              <w:left w:w="40" w:type="dxa"/>
              <w:bottom w:w="40" w:type="dxa"/>
              <w:right w:w="40" w:type="dxa"/>
            </w:tcMar>
          </w:tcPr>
          <w:p w14:paraId="3750D8D0"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Earnings per share—diluted</w:t>
            </w:r>
          </w:p>
        </w:tc>
        <w:tc>
          <w:tcPr>
            <w:tcW w:w="0" w:type="auto"/>
            <w:shd w:val="clear" w:color="auto" w:fill="auto"/>
            <w:tcMar>
              <w:top w:w="40" w:type="dxa"/>
              <w:left w:w="40" w:type="dxa"/>
              <w:bottom w:w="40" w:type="dxa"/>
              <w:right w:w="40" w:type="dxa"/>
            </w:tcMar>
            <w:vAlign w:val="bottom"/>
          </w:tcPr>
          <w:p w14:paraId="3750D8D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3750D8D2"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3750D8D3"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1.31</w:t>
            </w:r>
          </w:p>
        </w:tc>
        <w:tc>
          <w:tcPr>
            <w:tcW w:w="0" w:type="auto"/>
            <w:tcBorders>
              <w:bottom w:val="double" w:sz="6" w:space="0" w:color="333333"/>
            </w:tcBorders>
            <w:shd w:val="clear" w:color="auto" w:fill="auto"/>
            <w:vAlign w:val="bottom"/>
          </w:tcPr>
          <w:p w14:paraId="3750D8D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8D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333333"/>
              <w:bottom w:val="double" w:sz="6" w:space="0" w:color="333333"/>
            </w:tcBorders>
            <w:shd w:val="clear" w:color="auto" w:fill="auto"/>
            <w:tcMar>
              <w:top w:w="40" w:type="dxa"/>
              <w:left w:w="40" w:type="dxa"/>
              <w:bottom w:w="40" w:type="dxa"/>
            </w:tcMar>
            <w:vAlign w:val="bottom"/>
          </w:tcPr>
          <w:p w14:paraId="3750D8D6"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double" w:sz="6" w:space="0" w:color="333333"/>
              <w:bottom w:val="double" w:sz="6" w:space="0" w:color="333333"/>
            </w:tcBorders>
            <w:shd w:val="clear" w:color="auto" w:fill="auto"/>
            <w:tcMar>
              <w:top w:w="40" w:type="dxa"/>
              <w:bottom w:w="40" w:type="dxa"/>
            </w:tcMar>
            <w:vAlign w:val="bottom"/>
          </w:tcPr>
          <w:p w14:paraId="3750D8D7"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0.87</w:t>
            </w:r>
          </w:p>
        </w:tc>
        <w:tc>
          <w:tcPr>
            <w:tcW w:w="0" w:type="auto"/>
            <w:tcBorders>
              <w:top w:val="double" w:sz="6" w:space="0" w:color="333333"/>
              <w:bottom w:val="double" w:sz="6" w:space="0" w:color="333333"/>
            </w:tcBorders>
            <w:shd w:val="clear" w:color="auto" w:fill="auto"/>
            <w:vAlign w:val="bottom"/>
          </w:tcPr>
          <w:p w14:paraId="3750D8D8" w14:textId="77777777" w:rsidR="002541AD" w:rsidRDefault="002541AD">
            <w:pPr>
              <w:textAlignment w:val="bottom"/>
              <w:rPr>
                <w:rFonts w:ascii="Times New Roman" w:hAnsi="Times New Roman"/>
                <w:sz w:val="20"/>
                <w:szCs w:val="20"/>
              </w:rPr>
            </w:pPr>
          </w:p>
        </w:tc>
      </w:tr>
      <w:tr w:rsidR="002541AD" w14:paraId="3750D8DF" w14:textId="77777777">
        <w:tc>
          <w:tcPr>
            <w:tcW w:w="0" w:type="auto"/>
            <w:shd w:val="clear" w:color="auto" w:fill="auto"/>
            <w:tcMar>
              <w:top w:w="40" w:type="dxa"/>
              <w:left w:w="40" w:type="dxa"/>
              <w:bottom w:w="40" w:type="dxa"/>
              <w:right w:w="40" w:type="dxa"/>
            </w:tcMar>
          </w:tcPr>
          <w:p w14:paraId="3750D8DA"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Weighted average shares of common stock outstanding:</w:t>
            </w:r>
          </w:p>
        </w:tc>
        <w:tc>
          <w:tcPr>
            <w:tcW w:w="0" w:type="auto"/>
            <w:shd w:val="clear" w:color="auto" w:fill="auto"/>
            <w:tcMar>
              <w:top w:w="40" w:type="dxa"/>
              <w:left w:w="40" w:type="dxa"/>
              <w:bottom w:w="40" w:type="dxa"/>
              <w:right w:w="40" w:type="dxa"/>
            </w:tcMar>
            <w:vAlign w:val="bottom"/>
          </w:tcPr>
          <w:p w14:paraId="3750D8D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8D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8D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8D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8E7" w14:textId="77777777">
        <w:tc>
          <w:tcPr>
            <w:tcW w:w="0" w:type="auto"/>
            <w:shd w:val="clear" w:color="auto" w:fill="auto"/>
            <w:tcMar>
              <w:top w:w="40" w:type="dxa"/>
              <w:left w:w="400" w:type="dxa"/>
              <w:bottom w:w="40" w:type="dxa"/>
              <w:right w:w="40" w:type="dxa"/>
            </w:tcMar>
          </w:tcPr>
          <w:p w14:paraId="3750D8E0"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Basic</w:t>
            </w:r>
          </w:p>
        </w:tc>
        <w:tc>
          <w:tcPr>
            <w:tcW w:w="0" w:type="auto"/>
            <w:shd w:val="clear" w:color="auto" w:fill="auto"/>
            <w:tcMar>
              <w:top w:w="40" w:type="dxa"/>
              <w:left w:w="40" w:type="dxa"/>
              <w:bottom w:w="40" w:type="dxa"/>
              <w:right w:w="40" w:type="dxa"/>
            </w:tcMar>
            <w:vAlign w:val="bottom"/>
          </w:tcPr>
          <w:p w14:paraId="3750D8E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8E2"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4,266</w:t>
            </w:r>
          </w:p>
        </w:tc>
        <w:tc>
          <w:tcPr>
            <w:tcW w:w="0" w:type="auto"/>
            <w:shd w:val="clear" w:color="auto" w:fill="auto"/>
            <w:vAlign w:val="bottom"/>
          </w:tcPr>
          <w:p w14:paraId="3750D8E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8E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8E5"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4,492</w:t>
            </w:r>
          </w:p>
        </w:tc>
        <w:tc>
          <w:tcPr>
            <w:tcW w:w="0" w:type="auto"/>
            <w:shd w:val="clear" w:color="auto" w:fill="auto"/>
            <w:vAlign w:val="bottom"/>
          </w:tcPr>
          <w:p w14:paraId="3750D8E6" w14:textId="77777777" w:rsidR="002541AD" w:rsidRDefault="002541AD">
            <w:pPr>
              <w:textAlignment w:val="bottom"/>
              <w:rPr>
                <w:rFonts w:ascii="Times New Roman" w:hAnsi="Times New Roman"/>
                <w:sz w:val="20"/>
                <w:szCs w:val="20"/>
              </w:rPr>
            </w:pPr>
          </w:p>
        </w:tc>
      </w:tr>
      <w:tr w:rsidR="002541AD" w14:paraId="3750D8EF" w14:textId="77777777">
        <w:tc>
          <w:tcPr>
            <w:tcW w:w="0" w:type="auto"/>
            <w:shd w:val="clear" w:color="auto" w:fill="auto"/>
            <w:tcMar>
              <w:top w:w="40" w:type="dxa"/>
              <w:left w:w="400" w:type="dxa"/>
              <w:bottom w:w="40" w:type="dxa"/>
              <w:right w:w="40" w:type="dxa"/>
            </w:tcMar>
          </w:tcPr>
          <w:p w14:paraId="3750D8E8"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Diluted</w:t>
            </w:r>
          </w:p>
        </w:tc>
        <w:tc>
          <w:tcPr>
            <w:tcW w:w="0" w:type="auto"/>
            <w:shd w:val="clear" w:color="auto" w:fill="auto"/>
            <w:tcMar>
              <w:top w:w="40" w:type="dxa"/>
              <w:left w:w="40" w:type="dxa"/>
              <w:bottom w:w="40" w:type="dxa"/>
              <w:right w:w="40" w:type="dxa"/>
            </w:tcMar>
            <w:vAlign w:val="bottom"/>
          </w:tcPr>
          <w:p w14:paraId="3750D8E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333333"/>
              <w:bottom w:val="double" w:sz="6" w:space="0" w:color="333333"/>
            </w:tcBorders>
            <w:shd w:val="clear" w:color="auto" w:fill="auto"/>
            <w:tcMar>
              <w:top w:w="40" w:type="dxa"/>
              <w:left w:w="40" w:type="dxa"/>
              <w:bottom w:w="40" w:type="dxa"/>
            </w:tcMar>
            <w:vAlign w:val="bottom"/>
          </w:tcPr>
          <w:p w14:paraId="3750D8EA"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4,312</w:t>
            </w:r>
          </w:p>
        </w:tc>
        <w:tc>
          <w:tcPr>
            <w:tcW w:w="0" w:type="auto"/>
            <w:tcBorders>
              <w:top w:val="double" w:sz="6" w:space="0" w:color="333333"/>
              <w:bottom w:val="double" w:sz="6" w:space="0" w:color="333333"/>
            </w:tcBorders>
            <w:shd w:val="clear" w:color="auto" w:fill="auto"/>
            <w:vAlign w:val="bottom"/>
          </w:tcPr>
          <w:p w14:paraId="3750D8E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8E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333333"/>
              <w:bottom w:val="double" w:sz="6" w:space="0" w:color="333333"/>
            </w:tcBorders>
            <w:shd w:val="clear" w:color="auto" w:fill="auto"/>
            <w:tcMar>
              <w:top w:w="40" w:type="dxa"/>
              <w:left w:w="40" w:type="dxa"/>
              <w:bottom w:w="40" w:type="dxa"/>
            </w:tcMar>
            <w:vAlign w:val="bottom"/>
          </w:tcPr>
          <w:p w14:paraId="3750D8ED"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4,564</w:t>
            </w:r>
          </w:p>
        </w:tc>
        <w:tc>
          <w:tcPr>
            <w:tcW w:w="0" w:type="auto"/>
            <w:tcBorders>
              <w:top w:val="double" w:sz="6" w:space="0" w:color="333333"/>
              <w:bottom w:val="double" w:sz="6" w:space="0" w:color="333333"/>
            </w:tcBorders>
            <w:shd w:val="clear" w:color="auto" w:fill="auto"/>
            <w:vAlign w:val="bottom"/>
          </w:tcPr>
          <w:p w14:paraId="3750D8EE" w14:textId="77777777" w:rsidR="002541AD" w:rsidRDefault="002541AD">
            <w:pPr>
              <w:textAlignment w:val="bottom"/>
              <w:rPr>
                <w:rFonts w:ascii="Times New Roman" w:hAnsi="Times New Roman"/>
                <w:sz w:val="20"/>
                <w:szCs w:val="20"/>
              </w:rPr>
            </w:pPr>
          </w:p>
        </w:tc>
      </w:tr>
    </w:tbl>
    <w:p w14:paraId="3750D8F0" w14:textId="77777777" w:rsidR="002541AD" w:rsidRDefault="00901AA6">
      <w:pPr>
        <w:spacing w:line="288" w:lineRule="auto"/>
        <w:rPr>
          <w:rFonts w:ascii="Times New Roman" w:hAnsi="Times New Roman"/>
          <w:sz w:val="16"/>
          <w:szCs w:val="16"/>
        </w:rPr>
      </w:pPr>
      <w:r>
        <w:rPr>
          <w:rFonts w:ascii="Arial" w:eastAsia="宋体" w:hAnsi="Arial" w:cs="Arial"/>
          <w:i/>
          <w:iCs/>
          <w:color w:val="333333"/>
          <w:sz w:val="16"/>
          <w:szCs w:val="16"/>
        </w:rPr>
        <w:t xml:space="preserve">See accompanying notes. </w:t>
      </w:r>
    </w:p>
    <w:p w14:paraId="3750D8F1"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5"/>
        <w:gridCol w:w="2741"/>
        <w:gridCol w:w="2990"/>
      </w:tblGrid>
      <w:tr w:rsidR="002541AD" w14:paraId="3750D8F3" w14:textId="77777777">
        <w:tc>
          <w:tcPr>
            <w:tcW w:w="0" w:type="auto"/>
            <w:gridSpan w:val="3"/>
            <w:shd w:val="clear" w:color="auto" w:fill="auto"/>
            <w:vAlign w:val="center"/>
          </w:tcPr>
          <w:p w14:paraId="3750D8F2" w14:textId="77777777" w:rsidR="002541AD" w:rsidRDefault="002541AD">
            <w:pPr>
              <w:rPr>
                <w:rFonts w:ascii="Times New Roman" w:hAnsi="Times New Roman"/>
                <w:sz w:val="20"/>
                <w:szCs w:val="20"/>
              </w:rPr>
            </w:pPr>
          </w:p>
        </w:tc>
      </w:tr>
      <w:tr w:rsidR="002541AD" w14:paraId="3750D8F7" w14:textId="77777777">
        <w:tc>
          <w:tcPr>
            <w:tcW w:w="1550" w:type="pct"/>
            <w:shd w:val="clear" w:color="auto" w:fill="auto"/>
            <w:vAlign w:val="center"/>
          </w:tcPr>
          <w:p w14:paraId="3750D8F4" w14:textId="77777777" w:rsidR="002541AD" w:rsidRDefault="002541AD">
            <w:pPr>
              <w:rPr>
                <w:rFonts w:ascii="Times New Roman" w:hAnsi="Times New Roman"/>
                <w:sz w:val="20"/>
                <w:szCs w:val="20"/>
              </w:rPr>
            </w:pPr>
          </w:p>
        </w:tc>
        <w:tc>
          <w:tcPr>
            <w:tcW w:w="1650" w:type="pct"/>
            <w:shd w:val="clear" w:color="auto" w:fill="auto"/>
            <w:vAlign w:val="center"/>
          </w:tcPr>
          <w:p w14:paraId="3750D8F5" w14:textId="77777777" w:rsidR="002541AD" w:rsidRDefault="002541AD">
            <w:pPr>
              <w:rPr>
                <w:rFonts w:ascii="Times New Roman" w:hAnsi="Times New Roman"/>
                <w:sz w:val="20"/>
                <w:szCs w:val="20"/>
              </w:rPr>
            </w:pPr>
          </w:p>
        </w:tc>
        <w:tc>
          <w:tcPr>
            <w:tcW w:w="1800" w:type="pct"/>
            <w:shd w:val="clear" w:color="auto" w:fill="auto"/>
            <w:vAlign w:val="center"/>
          </w:tcPr>
          <w:p w14:paraId="3750D8F6" w14:textId="77777777" w:rsidR="002541AD" w:rsidRDefault="002541AD">
            <w:pPr>
              <w:rPr>
                <w:rFonts w:ascii="Times New Roman" w:hAnsi="Times New Roman"/>
                <w:sz w:val="20"/>
                <w:szCs w:val="20"/>
              </w:rPr>
            </w:pPr>
          </w:p>
        </w:tc>
      </w:tr>
      <w:tr w:rsidR="002541AD" w14:paraId="3750D8FB" w14:textId="77777777">
        <w:tc>
          <w:tcPr>
            <w:tcW w:w="0" w:type="auto"/>
            <w:tcBorders>
              <w:top w:val="single" w:sz="8" w:space="0" w:color="0071C5"/>
              <w:right w:val="single" w:sz="24" w:space="0" w:color="0071C5"/>
            </w:tcBorders>
            <w:shd w:val="clear" w:color="auto" w:fill="auto"/>
            <w:tcMar>
              <w:top w:w="40" w:type="dxa"/>
              <w:left w:w="40" w:type="dxa"/>
              <w:bottom w:w="40" w:type="dxa"/>
              <w:right w:w="40" w:type="dxa"/>
            </w:tcMar>
            <w:vAlign w:val="center"/>
          </w:tcPr>
          <w:p w14:paraId="3750D8F8"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50" wp14:editId="3750F851">
                  <wp:extent cx="304800" cy="304800"/>
                  <wp:effectExtent l="0" t="0" r="0" b="0"/>
                  <wp:docPr id="55" name="图片 51"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1"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8F9"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Consolidated Condensed Statements of Income</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8FA"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6</w:t>
            </w:r>
          </w:p>
        </w:tc>
      </w:tr>
    </w:tbl>
    <w:p w14:paraId="3750D8FC" w14:textId="77777777" w:rsidR="002541AD" w:rsidRDefault="002541AD">
      <w:pPr>
        <w:spacing w:line="288" w:lineRule="auto"/>
        <w:rPr>
          <w:rFonts w:ascii="Times New Roman" w:hAnsi="Times New Roman"/>
          <w:sz w:val="18"/>
          <w:szCs w:val="18"/>
        </w:rPr>
      </w:pPr>
    </w:p>
    <w:p w14:paraId="3750D8FD" w14:textId="77777777" w:rsidR="002541AD" w:rsidRDefault="002541AD">
      <w:pPr>
        <w:spacing w:line="288" w:lineRule="auto"/>
        <w:rPr>
          <w:rFonts w:ascii="Times New Roman" w:hAnsi="Times New Roman"/>
          <w:sz w:val="18"/>
          <w:szCs w:val="18"/>
        </w:rPr>
      </w:pPr>
    </w:p>
    <w:p w14:paraId="3750D8FE" w14:textId="77777777" w:rsidR="002541AD" w:rsidRDefault="00901AA6">
      <w:r>
        <w:rPr>
          <w:rFonts w:ascii="Times New Roman" w:hAnsi="Times New Roman"/>
          <w:sz w:val="18"/>
          <w:szCs w:val="18"/>
        </w:rPr>
        <w:pict w14:anchorId="3750F852">
          <v:rect id="_x0000_i1032" style="width:415.3pt;height:1.5pt" o:hralign="center" o:hrstd="t" o:hr="t" fillcolor="#a0a0a0" stroked="f"/>
        </w:pict>
      </w:r>
    </w:p>
    <w:p w14:paraId="3750D8FF" w14:textId="77777777" w:rsidR="002541AD" w:rsidRDefault="00901AA6">
      <w:pPr>
        <w:spacing w:line="288" w:lineRule="auto"/>
        <w:jc w:val="right"/>
        <w:rPr>
          <w:rFonts w:ascii="Times New Roman" w:hAnsi="Times New Roman"/>
          <w:sz w:val="16"/>
          <w:szCs w:val="16"/>
        </w:rPr>
      </w:pPr>
      <w:hyperlink r:id="rId35" w:anchor="s2CABEAF4222C52B4A34547BF538A8C27" w:history="1">
        <w:r>
          <w:rPr>
            <w:rStyle w:val="a5"/>
            <w:rFonts w:ascii="Arial" w:eastAsia="宋体" w:hAnsi="Arial" w:cs="Arial"/>
            <w:b/>
            <w:bCs/>
            <w:sz w:val="16"/>
            <w:szCs w:val="16"/>
          </w:rPr>
          <w:t>Table of Contents</w:t>
        </w:r>
      </w:hyperlink>
    </w:p>
    <w:p w14:paraId="3750D900" w14:textId="77777777" w:rsidR="002541AD" w:rsidRDefault="002541AD">
      <w:pPr>
        <w:spacing w:line="288" w:lineRule="auto"/>
        <w:jc w:val="right"/>
        <w:rPr>
          <w:rFonts w:ascii="Times New Roman" w:hAnsi="Times New Roman"/>
          <w:sz w:val="18"/>
          <w:szCs w:val="18"/>
        </w:rPr>
      </w:pPr>
    </w:p>
    <w:p w14:paraId="3750D901" w14:textId="77777777" w:rsidR="002541AD" w:rsidRDefault="002541AD">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2541AD" w14:paraId="3750D903" w14:textId="77777777">
        <w:trPr>
          <w:jc w:val="center"/>
        </w:trPr>
        <w:tc>
          <w:tcPr>
            <w:tcW w:w="0" w:type="auto"/>
            <w:shd w:val="clear" w:color="auto" w:fill="auto"/>
            <w:vAlign w:val="center"/>
          </w:tcPr>
          <w:p w14:paraId="3750D902" w14:textId="77777777" w:rsidR="002541AD" w:rsidRDefault="002541AD">
            <w:pPr>
              <w:rPr>
                <w:rFonts w:ascii="Times New Roman" w:hAnsi="Times New Roman"/>
                <w:sz w:val="20"/>
                <w:szCs w:val="20"/>
              </w:rPr>
            </w:pPr>
          </w:p>
        </w:tc>
      </w:tr>
      <w:tr w:rsidR="002541AD" w14:paraId="3750D905" w14:textId="77777777">
        <w:trPr>
          <w:jc w:val="center"/>
        </w:trPr>
        <w:tc>
          <w:tcPr>
            <w:tcW w:w="5000" w:type="pct"/>
            <w:shd w:val="clear" w:color="auto" w:fill="auto"/>
            <w:vAlign w:val="center"/>
          </w:tcPr>
          <w:p w14:paraId="3750D904" w14:textId="77777777" w:rsidR="002541AD" w:rsidRDefault="002541AD">
            <w:pPr>
              <w:rPr>
                <w:rFonts w:ascii="Times New Roman" w:hAnsi="Times New Roman"/>
                <w:sz w:val="20"/>
                <w:szCs w:val="20"/>
              </w:rPr>
            </w:pPr>
          </w:p>
        </w:tc>
      </w:tr>
      <w:tr w:rsidR="002541AD" w14:paraId="3750D907" w14:textId="77777777">
        <w:trPr>
          <w:jc w:val="center"/>
        </w:trPr>
        <w:tc>
          <w:tcPr>
            <w:tcW w:w="0" w:type="auto"/>
            <w:shd w:val="clear" w:color="auto" w:fill="0071C5"/>
            <w:tcMar>
              <w:top w:w="40" w:type="dxa"/>
              <w:left w:w="40" w:type="dxa"/>
              <w:bottom w:w="40" w:type="dxa"/>
              <w:right w:w="40" w:type="dxa"/>
            </w:tcMar>
            <w:vAlign w:val="bottom"/>
          </w:tcPr>
          <w:p w14:paraId="3750D906"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rPr>
              <w:t>CONSOLIDATED CONDENSED STATEMENTS OF COMPREHENSIVE INCOME</w:t>
            </w:r>
          </w:p>
        </w:tc>
      </w:tr>
    </w:tbl>
    <w:p w14:paraId="3750D908" w14:textId="77777777" w:rsidR="002541AD" w:rsidRDefault="002541AD">
      <w:pPr>
        <w:rPr>
          <w:vanish/>
        </w:rPr>
      </w:pPr>
    </w:p>
    <w:tbl>
      <w:tblPr>
        <w:tblW w:w="5000" w:type="pct"/>
        <w:tblCellMar>
          <w:left w:w="0" w:type="dxa"/>
          <w:right w:w="0" w:type="dxa"/>
        </w:tblCellMar>
        <w:tblLook w:val="04A0" w:firstRow="1" w:lastRow="0" w:firstColumn="1" w:lastColumn="0" w:noHBand="0" w:noVBand="1"/>
      </w:tblPr>
      <w:tblGrid>
        <w:gridCol w:w="6072"/>
        <w:gridCol w:w="130"/>
        <w:gridCol w:w="142"/>
        <w:gridCol w:w="758"/>
        <w:gridCol w:w="101"/>
        <w:gridCol w:w="131"/>
        <w:gridCol w:w="142"/>
        <w:gridCol w:w="758"/>
        <w:gridCol w:w="72"/>
      </w:tblGrid>
      <w:tr w:rsidR="002541AD" w14:paraId="3750D90A" w14:textId="77777777">
        <w:tc>
          <w:tcPr>
            <w:tcW w:w="0" w:type="auto"/>
            <w:gridSpan w:val="9"/>
            <w:shd w:val="clear" w:color="auto" w:fill="auto"/>
            <w:vAlign w:val="center"/>
          </w:tcPr>
          <w:p w14:paraId="3750D909" w14:textId="77777777" w:rsidR="002541AD" w:rsidRDefault="002541AD">
            <w:pPr>
              <w:rPr>
                <w:rFonts w:ascii="Times New Roman" w:hAnsi="Times New Roman"/>
                <w:sz w:val="20"/>
                <w:szCs w:val="20"/>
              </w:rPr>
            </w:pPr>
          </w:p>
        </w:tc>
      </w:tr>
      <w:tr w:rsidR="002541AD" w14:paraId="3750D914" w14:textId="77777777">
        <w:tc>
          <w:tcPr>
            <w:tcW w:w="3700" w:type="pct"/>
            <w:shd w:val="clear" w:color="auto" w:fill="auto"/>
            <w:vAlign w:val="center"/>
          </w:tcPr>
          <w:p w14:paraId="3750D90B" w14:textId="77777777" w:rsidR="002541AD" w:rsidRDefault="002541AD">
            <w:pPr>
              <w:rPr>
                <w:rFonts w:ascii="Times New Roman" w:hAnsi="Times New Roman"/>
                <w:sz w:val="20"/>
                <w:szCs w:val="20"/>
              </w:rPr>
            </w:pPr>
          </w:p>
        </w:tc>
        <w:tc>
          <w:tcPr>
            <w:tcW w:w="50" w:type="pct"/>
            <w:shd w:val="clear" w:color="auto" w:fill="auto"/>
            <w:vAlign w:val="center"/>
          </w:tcPr>
          <w:p w14:paraId="3750D90C" w14:textId="77777777" w:rsidR="002541AD" w:rsidRDefault="002541AD">
            <w:pPr>
              <w:rPr>
                <w:rFonts w:ascii="Times New Roman" w:hAnsi="Times New Roman"/>
                <w:sz w:val="20"/>
                <w:szCs w:val="20"/>
              </w:rPr>
            </w:pPr>
          </w:p>
        </w:tc>
        <w:tc>
          <w:tcPr>
            <w:tcW w:w="50" w:type="pct"/>
            <w:shd w:val="clear" w:color="auto" w:fill="auto"/>
            <w:vAlign w:val="center"/>
          </w:tcPr>
          <w:p w14:paraId="3750D90D" w14:textId="77777777" w:rsidR="002541AD" w:rsidRDefault="002541AD">
            <w:pPr>
              <w:rPr>
                <w:rFonts w:ascii="Times New Roman" w:hAnsi="Times New Roman"/>
                <w:sz w:val="20"/>
                <w:szCs w:val="20"/>
              </w:rPr>
            </w:pPr>
          </w:p>
        </w:tc>
        <w:tc>
          <w:tcPr>
            <w:tcW w:w="500" w:type="pct"/>
            <w:shd w:val="clear" w:color="auto" w:fill="auto"/>
            <w:vAlign w:val="center"/>
          </w:tcPr>
          <w:p w14:paraId="3750D90E" w14:textId="77777777" w:rsidR="002541AD" w:rsidRDefault="002541AD">
            <w:pPr>
              <w:rPr>
                <w:rFonts w:ascii="Times New Roman" w:hAnsi="Times New Roman"/>
                <w:sz w:val="20"/>
                <w:szCs w:val="20"/>
              </w:rPr>
            </w:pPr>
          </w:p>
        </w:tc>
        <w:tc>
          <w:tcPr>
            <w:tcW w:w="50" w:type="pct"/>
            <w:shd w:val="clear" w:color="auto" w:fill="auto"/>
            <w:vAlign w:val="center"/>
          </w:tcPr>
          <w:p w14:paraId="3750D90F" w14:textId="77777777" w:rsidR="002541AD" w:rsidRDefault="002541AD">
            <w:pPr>
              <w:rPr>
                <w:rFonts w:ascii="Times New Roman" w:hAnsi="Times New Roman"/>
                <w:sz w:val="20"/>
                <w:szCs w:val="20"/>
              </w:rPr>
            </w:pPr>
          </w:p>
        </w:tc>
        <w:tc>
          <w:tcPr>
            <w:tcW w:w="50" w:type="pct"/>
            <w:shd w:val="clear" w:color="auto" w:fill="auto"/>
            <w:vAlign w:val="center"/>
          </w:tcPr>
          <w:p w14:paraId="3750D910" w14:textId="77777777" w:rsidR="002541AD" w:rsidRDefault="002541AD">
            <w:pPr>
              <w:rPr>
                <w:rFonts w:ascii="Times New Roman" w:hAnsi="Times New Roman"/>
                <w:sz w:val="20"/>
                <w:szCs w:val="20"/>
              </w:rPr>
            </w:pPr>
          </w:p>
        </w:tc>
        <w:tc>
          <w:tcPr>
            <w:tcW w:w="50" w:type="pct"/>
            <w:shd w:val="clear" w:color="auto" w:fill="auto"/>
            <w:vAlign w:val="center"/>
          </w:tcPr>
          <w:p w14:paraId="3750D911" w14:textId="77777777" w:rsidR="002541AD" w:rsidRDefault="002541AD">
            <w:pPr>
              <w:rPr>
                <w:rFonts w:ascii="Times New Roman" w:hAnsi="Times New Roman"/>
                <w:sz w:val="20"/>
                <w:szCs w:val="20"/>
              </w:rPr>
            </w:pPr>
          </w:p>
        </w:tc>
        <w:tc>
          <w:tcPr>
            <w:tcW w:w="500" w:type="pct"/>
            <w:shd w:val="clear" w:color="auto" w:fill="auto"/>
            <w:vAlign w:val="center"/>
          </w:tcPr>
          <w:p w14:paraId="3750D912" w14:textId="77777777" w:rsidR="002541AD" w:rsidRDefault="002541AD">
            <w:pPr>
              <w:rPr>
                <w:rFonts w:ascii="Times New Roman" w:hAnsi="Times New Roman"/>
                <w:sz w:val="20"/>
                <w:szCs w:val="20"/>
              </w:rPr>
            </w:pPr>
          </w:p>
        </w:tc>
        <w:tc>
          <w:tcPr>
            <w:tcW w:w="50" w:type="pct"/>
            <w:shd w:val="clear" w:color="auto" w:fill="auto"/>
            <w:vAlign w:val="center"/>
          </w:tcPr>
          <w:p w14:paraId="3750D913" w14:textId="77777777" w:rsidR="002541AD" w:rsidRDefault="002541AD">
            <w:pPr>
              <w:rPr>
                <w:rFonts w:ascii="Times New Roman" w:hAnsi="Times New Roman"/>
                <w:sz w:val="20"/>
                <w:szCs w:val="20"/>
              </w:rPr>
            </w:pPr>
          </w:p>
        </w:tc>
      </w:tr>
      <w:tr w:rsidR="002541AD" w14:paraId="3750D918" w14:textId="77777777">
        <w:tc>
          <w:tcPr>
            <w:tcW w:w="0" w:type="auto"/>
            <w:shd w:val="clear" w:color="auto" w:fill="auto"/>
            <w:tcMar>
              <w:top w:w="40" w:type="dxa"/>
              <w:left w:w="40" w:type="dxa"/>
              <w:bottom w:w="40" w:type="dxa"/>
              <w:right w:w="40" w:type="dxa"/>
            </w:tcMar>
            <w:vAlign w:val="bottom"/>
          </w:tcPr>
          <w:p w14:paraId="3750D91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91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3750D917"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Three Months Ended</w:t>
            </w:r>
          </w:p>
        </w:tc>
      </w:tr>
      <w:tr w:rsidR="002541AD" w14:paraId="3750D91E"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D919"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(In Millions; Unaudited)</w:t>
            </w:r>
          </w:p>
        </w:tc>
        <w:tc>
          <w:tcPr>
            <w:tcW w:w="0" w:type="auto"/>
            <w:shd w:val="clear" w:color="auto" w:fill="auto"/>
            <w:tcMar>
              <w:top w:w="40" w:type="dxa"/>
              <w:left w:w="40" w:type="dxa"/>
              <w:bottom w:w="40" w:type="dxa"/>
              <w:right w:w="40" w:type="dxa"/>
            </w:tcMar>
            <w:vAlign w:val="bottom"/>
          </w:tcPr>
          <w:p w14:paraId="3750D91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D91B"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c>
          <w:tcPr>
            <w:tcW w:w="0" w:type="auto"/>
            <w:shd w:val="clear" w:color="auto" w:fill="auto"/>
            <w:tcMar>
              <w:top w:w="40" w:type="dxa"/>
              <w:left w:w="40" w:type="dxa"/>
              <w:bottom w:w="40" w:type="dxa"/>
              <w:right w:w="40" w:type="dxa"/>
            </w:tcMar>
            <w:vAlign w:val="bottom"/>
          </w:tcPr>
          <w:p w14:paraId="3750D91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D91D"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30, </w:t>
            </w:r>
            <w:r>
              <w:rPr>
                <w:rFonts w:ascii="Arial" w:eastAsia="宋体" w:hAnsi="Arial" w:cs="Arial"/>
                <w:b/>
                <w:bCs/>
                <w:color w:val="333333"/>
                <w:sz w:val="18"/>
                <w:szCs w:val="18"/>
              </w:rPr>
              <w:br/>
              <w:t>2019</w:t>
            </w:r>
          </w:p>
        </w:tc>
      </w:tr>
      <w:tr w:rsidR="002541AD" w14:paraId="3750D928" w14:textId="77777777">
        <w:tc>
          <w:tcPr>
            <w:tcW w:w="0" w:type="auto"/>
            <w:shd w:val="clear" w:color="auto" w:fill="auto"/>
            <w:tcMar>
              <w:top w:w="40" w:type="dxa"/>
              <w:left w:w="40" w:type="dxa"/>
              <w:bottom w:w="40" w:type="dxa"/>
              <w:right w:w="40" w:type="dxa"/>
            </w:tcMar>
          </w:tcPr>
          <w:p w14:paraId="3750D91F"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Net income</w:t>
            </w:r>
          </w:p>
        </w:tc>
        <w:tc>
          <w:tcPr>
            <w:tcW w:w="0" w:type="auto"/>
            <w:shd w:val="clear" w:color="auto" w:fill="auto"/>
            <w:tcMar>
              <w:top w:w="40" w:type="dxa"/>
              <w:left w:w="40" w:type="dxa"/>
              <w:bottom w:w="40" w:type="dxa"/>
              <w:right w:w="40" w:type="dxa"/>
            </w:tcMar>
            <w:vAlign w:val="bottom"/>
          </w:tcPr>
          <w:p w14:paraId="3750D92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tcMar>
            <w:vAlign w:val="bottom"/>
          </w:tcPr>
          <w:p w14:paraId="3750D921"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single" w:sz="8" w:space="0" w:color="333333"/>
            </w:tcBorders>
            <w:shd w:val="clear" w:color="auto" w:fill="auto"/>
            <w:tcMar>
              <w:top w:w="40" w:type="dxa"/>
              <w:bottom w:w="40" w:type="dxa"/>
            </w:tcMar>
            <w:vAlign w:val="bottom"/>
          </w:tcPr>
          <w:p w14:paraId="3750D922"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5,661</w:t>
            </w:r>
          </w:p>
        </w:tc>
        <w:tc>
          <w:tcPr>
            <w:tcW w:w="0" w:type="auto"/>
            <w:tcBorders>
              <w:bottom w:val="single" w:sz="8" w:space="0" w:color="333333"/>
            </w:tcBorders>
            <w:shd w:val="clear" w:color="auto" w:fill="auto"/>
            <w:vAlign w:val="bottom"/>
          </w:tcPr>
          <w:p w14:paraId="3750D92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92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tcMar>
            <w:vAlign w:val="bottom"/>
          </w:tcPr>
          <w:p w14:paraId="3750D925"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single" w:sz="8" w:space="0" w:color="333333"/>
            </w:tcBorders>
            <w:shd w:val="clear" w:color="auto" w:fill="auto"/>
            <w:tcMar>
              <w:top w:w="40" w:type="dxa"/>
              <w:bottom w:w="40" w:type="dxa"/>
            </w:tcMar>
            <w:vAlign w:val="bottom"/>
          </w:tcPr>
          <w:p w14:paraId="3750D926"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3,974</w:t>
            </w:r>
          </w:p>
        </w:tc>
        <w:tc>
          <w:tcPr>
            <w:tcW w:w="0" w:type="auto"/>
            <w:tcBorders>
              <w:bottom w:val="single" w:sz="8" w:space="0" w:color="333333"/>
            </w:tcBorders>
            <w:shd w:val="clear" w:color="auto" w:fill="auto"/>
            <w:vAlign w:val="bottom"/>
          </w:tcPr>
          <w:p w14:paraId="3750D927" w14:textId="77777777" w:rsidR="002541AD" w:rsidRDefault="002541AD">
            <w:pPr>
              <w:textAlignment w:val="bottom"/>
              <w:rPr>
                <w:rFonts w:ascii="Times New Roman" w:hAnsi="Times New Roman"/>
                <w:sz w:val="20"/>
                <w:szCs w:val="20"/>
              </w:rPr>
            </w:pPr>
          </w:p>
        </w:tc>
      </w:tr>
      <w:tr w:rsidR="002541AD" w14:paraId="3750D92E" w14:textId="77777777">
        <w:tc>
          <w:tcPr>
            <w:tcW w:w="0" w:type="auto"/>
            <w:shd w:val="clear" w:color="auto" w:fill="auto"/>
            <w:tcMar>
              <w:top w:w="40" w:type="dxa"/>
              <w:left w:w="40" w:type="dxa"/>
              <w:bottom w:w="40" w:type="dxa"/>
              <w:right w:w="40" w:type="dxa"/>
            </w:tcMar>
          </w:tcPr>
          <w:p w14:paraId="3750D929"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Changes in other comprehensive income, net of tax:</w:t>
            </w:r>
          </w:p>
        </w:tc>
        <w:tc>
          <w:tcPr>
            <w:tcW w:w="0" w:type="auto"/>
            <w:shd w:val="clear" w:color="auto" w:fill="auto"/>
            <w:tcMar>
              <w:top w:w="40" w:type="dxa"/>
              <w:left w:w="40" w:type="dxa"/>
              <w:bottom w:w="40" w:type="dxa"/>
              <w:right w:w="40" w:type="dxa"/>
            </w:tcMar>
            <w:vAlign w:val="bottom"/>
          </w:tcPr>
          <w:p w14:paraId="3750D92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92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92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92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936" w14:textId="77777777">
        <w:tc>
          <w:tcPr>
            <w:tcW w:w="0" w:type="auto"/>
            <w:shd w:val="clear" w:color="auto" w:fill="auto"/>
            <w:tcMar>
              <w:top w:w="40" w:type="dxa"/>
              <w:left w:w="240" w:type="dxa"/>
              <w:bottom w:w="40" w:type="dxa"/>
              <w:right w:w="40" w:type="dxa"/>
            </w:tcMar>
          </w:tcPr>
          <w:p w14:paraId="3750D92F"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Net unrealized holding gains (losses) on derivatives</w:t>
            </w:r>
          </w:p>
        </w:tc>
        <w:tc>
          <w:tcPr>
            <w:tcW w:w="0" w:type="auto"/>
            <w:shd w:val="clear" w:color="auto" w:fill="auto"/>
            <w:tcMar>
              <w:top w:w="40" w:type="dxa"/>
              <w:left w:w="40" w:type="dxa"/>
              <w:bottom w:w="40" w:type="dxa"/>
              <w:right w:w="40" w:type="dxa"/>
            </w:tcMar>
            <w:vAlign w:val="bottom"/>
          </w:tcPr>
          <w:p w14:paraId="3750D93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3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(268</w:t>
            </w:r>
          </w:p>
        </w:tc>
        <w:tc>
          <w:tcPr>
            <w:tcW w:w="0" w:type="auto"/>
            <w:shd w:val="clear" w:color="auto" w:fill="auto"/>
            <w:tcMar>
              <w:top w:w="40" w:type="dxa"/>
              <w:bottom w:w="40" w:type="dxa"/>
              <w:right w:w="40" w:type="dxa"/>
            </w:tcMar>
            <w:vAlign w:val="bottom"/>
          </w:tcPr>
          <w:p w14:paraId="3750D932"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93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3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102</w:t>
            </w:r>
          </w:p>
        </w:tc>
        <w:tc>
          <w:tcPr>
            <w:tcW w:w="0" w:type="auto"/>
            <w:shd w:val="clear" w:color="auto" w:fill="auto"/>
            <w:vAlign w:val="bottom"/>
          </w:tcPr>
          <w:p w14:paraId="3750D935" w14:textId="77777777" w:rsidR="002541AD" w:rsidRDefault="002541AD">
            <w:pPr>
              <w:textAlignment w:val="bottom"/>
              <w:rPr>
                <w:rFonts w:ascii="Times New Roman" w:hAnsi="Times New Roman"/>
                <w:sz w:val="20"/>
                <w:szCs w:val="20"/>
              </w:rPr>
            </w:pPr>
          </w:p>
        </w:tc>
      </w:tr>
      <w:tr w:rsidR="002541AD" w14:paraId="3750D93E" w14:textId="77777777">
        <w:tc>
          <w:tcPr>
            <w:tcW w:w="0" w:type="auto"/>
            <w:shd w:val="clear" w:color="auto" w:fill="auto"/>
            <w:tcMar>
              <w:top w:w="40" w:type="dxa"/>
              <w:left w:w="240" w:type="dxa"/>
              <w:bottom w:w="40" w:type="dxa"/>
              <w:right w:w="40" w:type="dxa"/>
            </w:tcMar>
          </w:tcPr>
          <w:p w14:paraId="3750D937"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Actuarial valuation and other pension benefits (expenses), net</w:t>
            </w:r>
          </w:p>
        </w:tc>
        <w:tc>
          <w:tcPr>
            <w:tcW w:w="0" w:type="auto"/>
            <w:shd w:val="clear" w:color="auto" w:fill="auto"/>
            <w:tcMar>
              <w:top w:w="40" w:type="dxa"/>
              <w:left w:w="40" w:type="dxa"/>
              <w:bottom w:w="40" w:type="dxa"/>
              <w:right w:w="40" w:type="dxa"/>
            </w:tcMar>
            <w:vAlign w:val="bottom"/>
          </w:tcPr>
          <w:p w14:paraId="3750D93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3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12</w:t>
            </w:r>
          </w:p>
        </w:tc>
        <w:tc>
          <w:tcPr>
            <w:tcW w:w="0" w:type="auto"/>
            <w:shd w:val="clear" w:color="auto" w:fill="auto"/>
            <w:vAlign w:val="bottom"/>
          </w:tcPr>
          <w:p w14:paraId="3750D93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93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3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9</w:t>
            </w:r>
          </w:p>
        </w:tc>
        <w:tc>
          <w:tcPr>
            <w:tcW w:w="0" w:type="auto"/>
            <w:shd w:val="clear" w:color="auto" w:fill="auto"/>
            <w:vAlign w:val="bottom"/>
          </w:tcPr>
          <w:p w14:paraId="3750D93D" w14:textId="77777777" w:rsidR="002541AD" w:rsidRDefault="002541AD">
            <w:pPr>
              <w:textAlignment w:val="bottom"/>
              <w:rPr>
                <w:rFonts w:ascii="Times New Roman" w:hAnsi="Times New Roman"/>
                <w:sz w:val="20"/>
                <w:szCs w:val="20"/>
              </w:rPr>
            </w:pPr>
          </w:p>
        </w:tc>
      </w:tr>
      <w:tr w:rsidR="002541AD" w14:paraId="3750D946" w14:textId="77777777">
        <w:tc>
          <w:tcPr>
            <w:tcW w:w="0" w:type="auto"/>
            <w:shd w:val="clear" w:color="auto" w:fill="auto"/>
            <w:tcMar>
              <w:top w:w="40" w:type="dxa"/>
              <w:left w:w="240" w:type="dxa"/>
              <w:bottom w:w="40" w:type="dxa"/>
              <w:right w:w="40" w:type="dxa"/>
            </w:tcMar>
          </w:tcPr>
          <w:p w14:paraId="3750D93F"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Translation adjustments and other</w:t>
            </w:r>
          </w:p>
        </w:tc>
        <w:tc>
          <w:tcPr>
            <w:tcW w:w="0" w:type="auto"/>
            <w:shd w:val="clear" w:color="auto" w:fill="auto"/>
            <w:tcMar>
              <w:top w:w="40" w:type="dxa"/>
              <w:left w:w="40" w:type="dxa"/>
              <w:bottom w:w="40" w:type="dxa"/>
              <w:right w:w="40" w:type="dxa"/>
            </w:tcMar>
            <w:vAlign w:val="bottom"/>
          </w:tcPr>
          <w:p w14:paraId="3750D94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4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w:t>
            </w:r>
          </w:p>
        </w:tc>
        <w:tc>
          <w:tcPr>
            <w:tcW w:w="0" w:type="auto"/>
            <w:shd w:val="clear" w:color="auto" w:fill="auto"/>
            <w:tcMar>
              <w:top w:w="40" w:type="dxa"/>
              <w:bottom w:w="40" w:type="dxa"/>
              <w:right w:w="40" w:type="dxa"/>
            </w:tcMar>
            <w:vAlign w:val="bottom"/>
          </w:tcPr>
          <w:p w14:paraId="3750D942"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94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4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50</w:t>
            </w:r>
          </w:p>
        </w:tc>
        <w:tc>
          <w:tcPr>
            <w:tcW w:w="0" w:type="auto"/>
            <w:shd w:val="clear" w:color="auto" w:fill="auto"/>
            <w:vAlign w:val="bottom"/>
          </w:tcPr>
          <w:p w14:paraId="3750D945" w14:textId="77777777" w:rsidR="002541AD" w:rsidRDefault="002541AD">
            <w:pPr>
              <w:textAlignment w:val="bottom"/>
              <w:rPr>
                <w:rFonts w:ascii="Times New Roman" w:hAnsi="Times New Roman"/>
                <w:sz w:val="20"/>
                <w:szCs w:val="20"/>
              </w:rPr>
            </w:pPr>
          </w:p>
        </w:tc>
      </w:tr>
      <w:tr w:rsidR="002541AD" w14:paraId="3750D94E" w14:textId="77777777">
        <w:tc>
          <w:tcPr>
            <w:tcW w:w="0" w:type="auto"/>
            <w:shd w:val="clear" w:color="auto" w:fill="auto"/>
            <w:tcMar>
              <w:top w:w="40" w:type="dxa"/>
              <w:left w:w="40" w:type="dxa"/>
              <w:bottom w:w="40" w:type="dxa"/>
              <w:right w:w="40" w:type="dxa"/>
            </w:tcMar>
          </w:tcPr>
          <w:p w14:paraId="3750D947"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Other comprehensive income (loss)</w:t>
            </w:r>
          </w:p>
        </w:tc>
        <w:tc>
          <w:tcPr>
            <w:tcW w:w="0" w:type="auto"/>
            <w:shd w:val="clear" w:color="auto" w:fill="auto"/>
            <w:tcMar>
              <w:top w:w="40" w:type="dxa"/>
              <w:left w:w="40" w:type="dxa"/>
              <w:bottom w:w="40" w:type="dxa"/>
              <w:right w:w="40" w:type="dxa"/>
            </w:tcMar>
            <w:vAlign w:val="bottom"/>
          </w:tcPr>
          <w:p w14:paraId="3750D94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D949"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(261</w:t>
            </w:r>
          </w:p>
        </w:tc>
        <w:tc>
          <w:tcPr>
            <w:tcW w:w="0" w:type="auto"/>
            <w:tcBorders>
              <w:top w:val="single" w:sz="8" w:space="0" w:color="333333"/>
              <w:bottom w:val="single" w:sz="8" w:space="0" w:color="333333"/>
            </w:tcBorders>
            <w:shd w:val="clear" w:color="auto" w:fill="auto"/>
            <w:tcMar>
              <w:top w:w="40" w:type="dxa"/>
              <w:bottom w:w="40" w:type="dxa"/>
              <w:right w:w="40" w:type="dxa"/>
            </w:tcMar>
            <w:vAlign w:val="bottom"/>
          </w:tcPr>
          <w:p w14:paraId="3750D94A"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3750D94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D94C"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161</w:t>
            </w:r>
          </w:p>
        </w:tc>
        <w:tc>
          <w:tcPr>
            <w:tcW w:w="0" w:type="auto"/>
            <w:tcBorders>
              <w:top w:val="single" w:sz="8" w:space="0" w:color="333333"/>
              <w:bottom w:val="single" w:sz="8" w:space="0" w:color="333333"/>
            </w:tcBorders>
            <w:shd w:val="clear" w:color="auto" w:fill="auto"/>
            <w:vAlign w:val="bottom"/>
          </w:tcPr>
          <w:p w14:paraId="3750D94D" w14:textId="77777777" w:rsidR="002541AD" w:rsidRDefault="002541AD">
            <w:pPr>
              <w:textAlignment w:val="bottom"/>
              <w:rPr>
                <w:rFonts w:ascii="Times New Roman" w:hAnsi="Times New Roman"/>
                <w:sz w:val="20"/>
                <w:szCs w:val="20"/>
              </w:rPr>
            </w:pPr>
          </w:p>
        </w:tc>
      </w:tr>
      <w:tr w:rsidR="002541AD" w14:paraId="3750D958" w14:textId="77777777">
        <w:tc>
          <w:tcPr>
            <w:tcW w:w="0" w:type="auto"/>
            <w:shd w:val="clear" w:color="auto" w:fill="auto"/>
            <w:tcMar>
              <w:top w:w="40" w:type="dxa"/>
              <w:left w:w="40" w:type="dxa"/>
              <w:bottom w:w="40" w:type="dxa"/>
              <w:right w:w="40" w:type="dxa"/>
            </w:tcMar>
          </w:tcPr>
          <w:p w14:paraId="3750D94F"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Total comprehensive income</w:t>
            </w:r>
          </w:p>
        </w:tc>
        <w:tc>
          <w:tcPr>
            <w:tcW w:w="0" w:type="auto"/>
            <w:shd w:val="clear" w:color="auto" w:fill="auto"/>
            <w:tcMar>
              <w:top w:w="40" w:type="dxa"/>
              <w:left w:w="40" w:type="dxa"/>
              <w:bottom w:w="40" w:type="dxa"/>
              <w:right w:w="40" w:type="dxa"/>
            </w:tcMar>
            <w:vAlign w:val="bottom"/>
          </w:tcPr>
          <w:p w14:paraId="3750D95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3750D951"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3750D952"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5,400</w:t>
            </w:r>
          </w:p>
        </w:tc>
        <w:tc>
          <w:tcPr>
            <w:tcW w:w="0" w:type="auto"/>
            <w:tcBorders>
              <w:bottom w:val="double" w:sz="6" w:space="0" w:color="333333"/>
            </w:tcBorders>
            <w:shd w:val="clear" w:color="auto" w:fill="auto"/>
            <w:vAlign w:val="bottom"/>
          </w:tcPr>
          <w:p w14:paraId="3750D95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95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3750D955"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3750D956"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4,135</w:t>
            </w:r>
          </w:p>
        </w:tc>
        <w:tc>
          <w:tcPr>
            <w:tcW w:w="0" w:type="auto"/>
            <w:tcBorders>
              <w:bottom w:val="double" w:sz="6" w:space="0" w:color="333333"/>
            </w:tcBorders>
            <w:shd w:val="clear" w:color="auto" w:fill="auto"/>
            <w:vAlign w:val="bottom"/>
          </w:tcPr>
          <w:p w14:paraId="3750D957" w14:textId="77777777" w:rsidR="002541AD" w:rsidRDefault="002541AD">
            <w:pPr>
              <w:textAlignment w:val="bottom"/>
              <w:rPr>
                <w:rFonts w:ascii="Times New Roman" w:hAnsi="Times New Roman"/>
                <w:sz w:val="20"/>
                <w:szCs w:val="20"/>
              </w:rPr>
            </w:pPr>
          </w:p>
        </w:tc>
      </w:tr>
    </w:tbl>
    <w:p w14:paraId="3750D959" w14:textId="77777777" w:rsidR="002541AD" w:rsidRDefault="00901AA6">
      <w:pPr>
        <w:spacing w:line="288" w:lineRule="auto"/>
        <w:rPr>
          <w:rFonts w:ascii="Times New Roman" w:hAnsi="Times New Roman"/>
          <w:sz w:val="16"/>
          <w:szCs w:val="16"/>
        </w:rPr>
      </w:pPr>
      <w:r>
        <w:rPr>
          <w:rFonts w:ascii="Arial" w:eastAsia="宋体" w:hAnsi="Arial" w:cs="Arial"/>
          <w:i/>
          <w:iCs/>
          <w:color w:val="333333"/>
          <w:sz w:val="16"/>
          <w:szCs w:val="16"/>
        </w:rPr>
        <w:t xml:space="preserve">See accompanying notes. </w:t>
      </w:r>
    </w:p>
    <w:p w14:paraId="3750D95A"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D95C" w14:textId="77777777">
        <w:tc>
          <w:tcPr>
            <w:tcW w:w="0" w:type="auto"/>
            <w:gridSpan w:val="3"/>
            <w:shd w:val="clear" w:color="auto" w:fill="auto"/>
            <w:vAlign w:val="center"/>
          </w:tcPr>
          <w:p w14:paraId="3750D95B" w14:textId="77777777" w:rsidR="002541AD" w:rsidRDefault="002541AD">
            <w:pPr>
              <w:rPr>
                <w:rFonts w:ascii="Times New Roman" w:hAnsi="Times New Roman"/>
                <w:sz w:val="20"/>
                <w:szCs w:val="20"/>
              </w:rPr>
            </w:pPr>
          </w:p>
        </w:tc>
      </w:tr>
      <w:tr w:rsidR="002541AD" w14:paraId="3750D960" w14:textId="77777777">
        <w:tc>
          <w:tcPr>
            <w:tcW w:w="1550" w:type="pct"/>
            <w:shd w:val="clear" w:color="auto" w:fill="auto"/>
            <w:vAlign w:val="center"/>
          </w:tcPr>
          <w:p w14:paraId="3750D95D" w14:textId="77777777" w:rsidR="002541AD" w:rsidRDefault="002541AD">
            <w:pPr>
              <w:rPr>
                <w:rFonts w:ascii="Times New Roman" w:hAnsi="Times New Roman"/>
                <w:sz w:val="20"/>
                <w:szCs w:val="20"/>
              </w:rPr>
            </w:pPr>
          </w:p>
        </w:tc>
        <w:tc>
          <w:tcPr>
            <w:tcW w:w="2200" w:type="pct"/>
            <w:shd w:val="clear" w:color="auto" w:fill="auto"/>
            <w:vAlign w:val="center"/>
          </w:tcPr>
          <w:p w14:paraId="3750D95E" w14:textId="77777777" w:rsidR="002541AD" w:rsidRDefault="002541AD">
            <w:pPr>
              <w:rPr>
                <w:rFonts w:ascii="Times New Roman" w:hAnsi="Times New Roman"/>
                <w:sz w:val="20"/>
                <w:szCs w:val="20"/>
              </w:rPr>
            </w:pPr>
          </w:p>
        </w:tc>
        <w:tc>
          <w:tcPr>
            <w:tcW w:w="1250" w:type="pct"/>
            <w:shd w:val="clear" w:color="auto" w:fill="auto"/>
            <w:vAlign w:val="center"/>
          </w:tcPr>
          <w:p w14:paraId="3750D95F" w14:textId="77777777" w:rsidR="002541AD" w:rsidRDefault="002541AD">
            <w:pPr>
              <w:rPr>
                <w:rFonts w:ascii="Times New Roman" w:hAnsi="Times New Roman"/>
                <w:sz w:val="20"/>
                <w:szCs w:val="20"/>
              </w:rPr>
            </w:pPr>
          </w:p>
        </w:tc>
      </w:tr>
      <w:tr w:rsidR="002541AD" w14:paraId="3750D964" w14:textId="77777777">
        <w:tc>
          <w:tcPr>
            <w:tcW w:w="0" w:type="auto"/>
            <w:tcBorders>
              <w:top w:val="single" w:sz="8" w:space="0" w:color="0071C5"/>
              <w:right w:val="single" w:sz="24" w:space="0" w:color="0071C5"/>
            </w:tcBorders>
            <w:shd w:val="clear" w:color="auto" w:fill="auto"/>
            <w:tcMar>
              <w:top w:w="40" w:type="dxa"/>
              <w:left w:w="40" w:type="dxa"/>
              <w:bottom w:w="40" w:type="dxa"/>
              <w:right w:w="40" w:type="dxa"/>
            </w:tcMar>
            <w:vAlign w:val="center"/>
          </w:tcPr>
          <w:p w14:paraId="3750D961"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53" wp14:editId="3750F854">
                  <wp:extent cx="304800" cy="304800"/>
                  <wp:effectExtent l="0" t="0" r="0" b="0"/>
                  <wp:docPr id="60" name="图片 53"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3"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962"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Consolidated Condensed Statements of Comprehensive Income</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963"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7</w:t>
            </w:r>
          </w:p>
        </w:tc>
      </w:tr>
    </w:tbl>
    <w:p w14:paraId="3750D965" w14:textId="77777777" w:rsidR="002541AD" w:rsidRDefault="002541AD">
      <w:pPr>
        <w:spacing w:line="288" w:lineRule="auto"/>
        <w:rPr>
          <w:rFonts w:ascii="Times New Roman" w:hAnsi="Times New Roman"/>
          <w:sz w:val="18"/>
          <w:szCs w:val="18"/>
        </w:rPr>
      </w:pPr>
    </w:p>
    <w:p w14:paraId="3750D966" w14:textId="77777777" w:rsidR="002541AD" w:rsidRDefault="00901AA6">
      <w:r>
        <w:rPr>
          <w:rFonts w:ascii="Times New Roman" w:hAnsi="Times New Roman"/>
          <w:sz w:val="18"/>
          <w:szCs w:val="18"/>
        </w:rPr>
        <w:pict w14:anchorId="3750F855">
          <v:rect id="_x0000_i1033" style="width:415.3pt;height:1.5pt" o:hralign="center" o:hrstd="t" o:hr="t" fillcolor="#a0a0a0" stroked="f"/>
        </w:pict>
      </w:r>
    </w:p>
    <w:p w14:paraId="3750D967" w14:textId="77777777" w:rsidR="002541AD" w:rsidRDefault="00901AA6">
      <w:pPr>
        <w:spacing w:line="288" w:lineRule="auto"/>
        <w:jc w:val="right"/>
        <w:rPr>
          <w:rFonts w:ascii="Times New Roman" w:hAnsi="Times New Roman"/>
          <w:sz w:val="16"/>
          <w:szCs w:val="16"/>
        </w:rPr>
      </w:pPr>
      <w:hyperlink r:id="rId36" w:anchor="s2CABEAF4222C52B4A34547BF538A8C27" w:history="1">
        <w:r>
          <w:rPr>
            <w:rStyle w:val="a5"/>
            <w:rFonts w:ascii="Arial" w:eastAsia="宋体" w:hAnsi="Arial" w:cs="Arial"/>
            <w:b/>
            <w:bCs/>
            <w:sz w:val="16"/>
            <w:szCs w:val="16"/>
          </w:rPr>
          <w:t>Table of Contents</w:t>
        </w:r>
      </w:hyperlink>
    </w:p>
    <w:p w14:paraId="3750D968" w14:textId="77777777" w:rsidR="002541AD" w:rsidRDefault="002541AD">
      <w:pPr>
        <w:spacing w:line="288" w:lineRule="auto"/>
        <w:jc w:val="right"/>
        <w:rPr>
          <w:rFonts w:ascii="Times New Roman" w:hAnsi="Times New Roman"/>
          <w:sz w:val="18"/>
          <w:szCs w:val="18"/>
        </w:rPr>
      </w:pPr>
    </w:p>
    <w:p w14:paraId="3750D969" w14:textId="77777777" w:rsidR="002541AD" w:rsidRDefault="002541AD">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2541AD" w14:paraId="3750D96B" w14:textId="77777777">
        <w:trPr>
          <w:jc w:val="center"/>
        </w:trPr>
        <w:tc>
          <w:tcPr>
            <w:tcW w:w="0" w:type="auto"/>
            <w:shd w:val="clear" w:color="auto" w:fill="auto"/>
            <w:vAlign w:val="center"/>
          </w:tcPr>
          <w:p w14:paraId="3750D96A" w14:textId="77777777" w:rsidR="002541AD" w:rsidRDefault="002541AD">
            <w:pPr>
              <w:rPr>
                <w:rFonts w:ascii="Times New Roman" w:hAnsi="Times New Roman"/>
                <w:sz w:val="20"/>
                <w:szCs w:val="20"/>
              </w:rPr>
            </w:pPr>
          </w:p>
        </w:tc>
      </w:tr>
      <w:tr w:rsidR="002541AD" w14:paraId="3750D96D" w14:textId="77777777">
        <w:trPr>
          <w:jc w:val="center"/>
        </w:trPr>
        <w:tc>
          <w:tcPr>
            <w:tcW w:w="5000" w:type="pct"/>
            <w:shd w:val="clear" w:color="auto" w:fill="auto"/>
            <w:vAlign w:val="center"/>
          </w:tcPr>
          <w:p w14:paraId="3750D96C" w14:textId="77777777" w:rsidR="002541AD" w:rsidRDefault="002541AD">
            <w:pPr>
              <w:rPr>
                <w:rFonts w:ascii="Times New Roman" w:hAnsi="Times New Roman"/>
                <w:sz w:val="20"/>
                <w:szCs w:val="20"/>
              </w:rPr>
            </w:pPr>
          </w:p>
        </w:tc>
      </w:tr>
      <w:tr w:rsidR="002541AD" w14:paraId="3750D96F" w14:textId="77777777">
        <w:trPr>
          <w:jc w:val="center"/>
        </w:trPr>
        <w:tc>
          <w:tcPr>
            <w:tcW w:w="0" w:type="auto"/>
            <w:shd w:val="clear" w:color="auto" w:fill="0071C5"/>
            <w:tcMar>
              <w:top w:w="40" w:type="dxa"/>
              <w:left w:w="40" w:type="dxa"/>
              <w:bottom w:w="40" w:type="dxa"/>
              <w:right w:w="40" w:type="dxa"/>
            </w:tcMar>
            <w:vAlign w:val="bottom"/>
          </w:tcPr>
          <w:p w14:paraId="3750D96E"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rPr>
              <w:t xml:space="preserve">CONSOLIDATED CONDENSED BALANCE SHEETS </w:t>
            </w:r>
          </w:p>
        </w:tc>
      </w:tr>
    </w:tbl>
    <w:p w14:paraId="3750D970" w14:textId="77777777" w:rsidR="002541AD" w:rsidRDefault="002541AD">
      <w:pPr>
        <w:rPr>
          <w:vanish/>
        </w:rPr>
      </w:pPr>
    </w:p>
    <w:tbl>
      <w:tblPr>
        <w:tblW w:w="4991" w:type="pct"/>
        <w:tblCellMar>
          <w:left w:w="0" w:type="dxa"/>
          <w:right w:w="0" w:type="dxa"/>
        </w:tblCellMar>
        <w:tblLook w:val="04A0" w:firstRow="1" w:lastRow="0" w:firstColumn="1" w:lastColumn="0" w:noHBand="0" w:noVBand="1"/>
      </w:tblPr>
      <w:tblGrid>
        <w:gridCol w:w="6053"/>
        <w:gridCol w:w="130"/>
        <w:gridCol w:w="142"/>
        <w:gridCol w:w="826"/>
        <w:gridCol w:w="100"/>
        <w:gridCol w:w="130"/>
        <w:gridCol w:w="141"/>
        <w:gridCol w:w="669"/>
        <w:gridCol w:w="100"/>
      </w:tblGrid>
      <w:tr w:rsidR="002541AD" w14:paraId="3750D972" w14:textId="77777777">
        <w:tc>
          <w:tcPr>
            <w:tcW w:w="0" w:type="auto"/>
            <w:gridSpan w:val="9"/>
            <w:shd w:val="clear" w:color="auto" w:fill="auto"/>
            <w:vAlign w:val="center"/>
          </w:tcPr>
          <w:p w14:paraId="3750D971" w14:textId="77777777" w:rsidR="002541AD" w:rsidRDefault="002541AD">
            <w:pPr>
              <w:rPr>
                <w:rFonts w:ascii="Times New Roman" w:hAnsi="Times New Roman"/>
                <w:sz w:val="20"/>
                <w:szCs w:val="20"/>
              </w:rPr>
            </w:pPr>
          </w:p>
        </w:tc>
      </w:tr>
      <w:tr w:rsidR="002541AD" w14:paraId="3750D97C" w14:textId="77777777">
        <w:tc>
          <w:tcPr>
            <w:tcW w:w="3700" w:type="pct"/>
            <w:shd w:val="clear" w:color="auto" w:fill="auto"/>
            <w:vAlign w:val="center"/>
          </w:tcPr>
          <w:p w14:paraId="3750D973" w14:textId="77777777" w:rsidR="002541AD" w:rsidRDefault="002541AD">
            <w:pPr>
              <w:rPr>
                <w:rFonts w:ascii="Times New Roman" w:hAnsi="Times New Roman"/>
                <w:sz w:val="20"/>
                <w:szCs w:val="20"/>
              </w:rPr>
            </w:pPr>
          </w:p>
        </w:tc>
        <w:tc>
          <w:tcPr>
            <w:tcW w:w="50" w:type="pct"/>
            <w:shd w:val="clear" w:color="auto" w:fill="auto"/>
            <w:vAlign w:val="center"/>
          </w:tcPr>
          <w:p w14:paraId="3750D974" w14:textId="77777777" w:rsidR="002541AD" w:rsidRDefault="002541AD">
            <w:pPr>
              <w:rPr>
                <w:rFonts w:ascii="Times New Roman" w:hAnsi="Times New Roman"/>
                <w:sz w:val="20"/>
                <w:szCs w:val="20"/>
              </w:rPr>
            </w:pPr>
          </w:p>
        </w:tc>
        <w:tc>
          <w:tcPr>
            <w:tcW w:w="50" w:type="pct"/>
            <w:shd w:val="clear" w:color="auto" w:fill="auto"/>
            <w:vAlign w:val="center"/>
          </w:tcPr>
          <w:p w14:paraId="3750D975" w14:textId="77777777" w:rsidR="002541AD" w:rsidRDefault="002541AD">
            <w:pPr>
              <w:rPr>
                <w:rFonts w:ascii="Times New Roman" w:hAnsi="Times New Roman"/>
                <w:sz w:val="20"/>
                <w:szCs w:val="20"/>
              </w:rPr>
            </w:pPr>
          </w:p>
        </w:tc>
        <w:tc>
          <w:tcPr>
            <w:tcW w:w="500" w:type="pct"/>
            <w:shd w:val="clear" w:color="auto" w:fill="auto"/>
            <w:vAlign w:val="center"/>
          </w:tcPr>
          <w:p w14:paraId="3750D976" w14:textId="77777777" w:rsidR="002541AD" w:rsidRDefault="002541AD">
            <w:pPr>
              <w:rPr>
                <w:rFonts w:ascii="Times New Roman" w:hAnsi="Times New Roman"/>
                <w:sz w:val="20"/>
                <w:szCs w:val="20"/>
              </w:rPr>
            </w:pPr>
          </w:p>
        </w:tc>
        <w:tc>
          <w:tcPr>
            <w:tcW w:w="50" w:type="pct"/>
            <w:shd w:val="clear" w:color="auto" w:fill="auto"/>
            <w:vAlign w:val="center"/>
          </w:tcPr>
          <w:p w14:paraId="3750D977" w14:textId="77777777" w:rsidR="002541AD" w:rsidRDefault="002541AD">
            <w:pPr>
              <w:rPr>
                <w:rFonts w:ascii="Times New Roman" w:hAnsi="Times New Roman"/>
                <w:sz w:val="20"/>
                <w:szCs w:val="20"/>
              </w:rPr>
            </w:pPr>
          </w:p>
        </w:tc>
        <w:tc>
          <w:tcPr>
            <w:tcW w:w="50" w:type="pct"/>
            <w:shd w:val="clear" w:color="auto" w:fill="auto"/>
            <w:vAlign w:val="center"/>
          </w:tcPr>
          <w:p w14:paraId="3750D978" w14:textId="77777777" w:rsidR="002541AD" w:rsidRDefault="002541AD">
            <w:pPr>
              <w:rPr>
                <w:rFonts w:ascii="Times New Roman" w:hAnsi="Times New Roman"/>
                <w:sz w:val="20"/>
                <w:szCs w:val="20"/>
              </w:rPr>
            </w:pPr>
          </w:p>
        </w:tc>
        <w:tc>
          <w:tcPr>
            <w:tcW w:w="50" w:type="pct"/>
            <w:shd w:val="clear" w:color="auto" w:fill="auto"/>
            <w:vAlign w:val="center"/>
          </w:tcPr>
          <w:p w14:paraId="3750D979" w14:textId="77777777" w:rsidR="002541AD" w:rsidRDefault="002541AD">
            <w:pPr>
              <w:rPr>
                <w:rFonts w:ascii="Times New Roman" w:hAnsi="Times New Roman"/>
                <w:sz w:val="20"/>
                <w:szCs w:val="20"/>
              </w:rPr>
            </w:pPr>
          </w:p>
        </w:tc>
        <w:tc>
          <w:tcPr>
            <w:tcW w:w="500" w:type="pct"/>
            <w:shd w:val="clear" w:color="auto" w:fill="auto"/>
            <w:vAlign w:val="center"/>
          </w:tcPr>
          <w:p w14:paraId="3750D97A" w14:textId="77777777" w:rsidR="002541AD" w:rsidRDefault="002541AD">
            <w:pPr>
              <w:rPr>
                <w:rFonts w:ascii="Times New Roman" w:hAnsi="Times New Roman"/>
                <w:sz w:val="20"/>
                <w:szCs w:val="20"/>
              </w:rPr>
            </w:pPr>
          </w:p>
        </w:tc>
        <w:tc>
          <w:tcPr>
            <w:tcW w:w="50" w:type="pct"/>
            <w:shd w:val="clear" w:color="auto" w:fill="auto"/>
            <w:vAlign w:val="center"/>
          </w:tcPr>
          <w:p w14:paraId="3750D97B" w14:textId="77777777" w:rsidR="002541AD" w:rsidRDefault="002541AD">
            <w:pPr>
              <w:rPr>
                <w:rFonts w:ascii="Times New Roman" w:hAnsi="Times New Roman"/>
                <w:sz w:val="20"/>
                <w:szCs w:val="20"/>
              </w:rPr>
            </w:pPr>
          </w:p>
        </w:tc>
      </w:tr>
      <w:tr w:rsidR="002541AD" w14:paraId="3750D982"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D97D"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D97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D97F"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c>
          <w:tcPr>
            <w:tcW w:w="0" w:type="auto"/>
            <w:shd w:val="clear" w:color="auto" w:fill="auto"/>
            <w:tcMar>
              <w:top w:w="40" w:type="dxa"/>
              <w:left w:w="40" w:type="dxa"/>
              <w:bottom w:w="40" w:type="dxa"/>
              <w:right w:w="40" w:type="dxa"/>
            </w:tcMar>
            <w:vAlign w:val="bottom"/>
          </w:tcPr>
          <w:p w14:paraId="3750D98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D981"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r>
      <w:tr w:rsidR="002541AD" w14:paraId="3750D988" w14:textId="77777777">
        <w:tc>
          <w:tcPr>
            <w:tcW w:w="0" w:type="auto"/>
            <w:shd w:val="clear" w:color="auto" w:fill="auto"/>
            <w:tcMar>
              <w:top w:w="40" w:type="dxa"/>
              <w:left w:w="40" w:type="dxa"/>
              <w:bottom w:w="40" w:type="dxa"/>
              <w:right w:w="40" w:type="dxa"/>
            </w:tcMar>
            <w:vAlign w:val="bottom"/>
          </w:tcPr>
          <w:p w14:paraId="3750D98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98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985" w14:textId="77777777" w:rsidR="002541AD" w:rsidRDefault="00901AA6">
            <w:pPr>
              <w:jc w:val="center"/>
              <w:textAlignment w:val="bottom"/>
              <w:rPr>
                <w:rFonts w:ascii="Times New Roman" w:hAnsi="Times New Roman"/>
                <w:sz w:val="18"/>
                <w:szCs w:val="18"/>
              </w:rPr>
            </w:pPr>
            <w:r>
              <w:rPr>
                <w:rFonts w:ascii="Arial" w:eastAsia="宋体" w:hAnsi="Arial" w:cs="Arial"/>
                <w:color w:val="333333"/>
                <w:sz w:val="18"/>
                <w:szCs w:val="18"/>
              </w:rPr>
              <w:t>(unaudited)</w:t>
            </w:r>
          </w:p>
        </w:tc>
        <w:tc>
          <w:tcPr>
            <w:tcW w:w="0" w:type="auto"/>
            <w:shd w:val="clear" w:color="auto" w:fill="auto"/>
            <w:tcMar>
              <w:top w:w="40" w:type="dxa"/>
              <w:left w:w="40" w:type="dxa"/>
              <w:bottom w:w="40" w:type="dxa"/>
              <w:right w:w="40" w:type="dxa"/>
            </w:tcMar>
            <w:vAlign w:val="bottom"/>
          </w:tcPr>
          <w:p w14:paraId="3750D98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98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98E" w14:textId="77777777">
        <w:tc>
          <w:tcPr>
            <w:tcW w:w="0" w:type="auto"/>
            <w:shd w:val="clear" w:color="auto" w:fill="auto"/>
            <w:tcMar>
              <w:top w:w="40" w:type="dxa"/>
              <w:left w:w="40" w:type="dxa"/>
              <w:bottom w:w="40" w:type="dxa"/>
              <w:right w:w="40" w:type="dxa"/>
            </w:tcMar>
          </w:tcPr>
          <w:p w14:paraId="3750D989"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Assets</w:t>
            </w:r>
          </w:p>
        </w:tc>
        <w:tc>
          <w:tcPr>
            <w:tcW w:w="0" w:type="auto"/>
            <w:shd w:val="clear" w:color="auto" w:fill="auto"/>
            <w:tcMar>
              <w:top w:w="40" w:type="dxa"/>
              <w:left w:w="40" w:type="dxa"/>
              <w:bottom w:w="40" w:type="dxa"/>
              <w:right w:w="40" w:type="dxa"/>
            </w:tcMar>
            <w:vAlign w:val="bottom"/>
          </w:tcPr>
          <w:p w14:paraId="3750D98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98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98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98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994" w14:textId="77777777">
        <w:tc>
          <w:tcPr>
            <w:tcW w:w="0" w:type="auto"/>
            <w:shd w:val="clear" w:color="auto" w:fill="auto"/>
            <w:tcMar>
              <w:top w:w="40" w:type="dxa"/>
              <w:left w:w="40" w:type="dxa"/>
              <w:bottom w:w="40" w:type="dxa"/>
              <w:right w:w="40" w:type="dxa"/>
            </w:tcMar>
          </w:tcPr>
          <w:p w14:paraId="3750D98F"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Current assets:</w:t>
            </w:r>
          </w:p>
        </w:tc>
        <w:tc>
          <w:tcPr>
            <w:tcW w:w="0" w:type="auto"/>
            <w:shd w:val="clear" w:color="auto" w:fill="auto"/>
            <w:tcMar>
              <w:top w:w="40" w:type="dxa"/>
              <w:left w:w="40" w:type="dxa"/>
              <w:bottom w:w="40" w:type="dxa"/>
              <w:right w:w="40" w:type="dxa"/>
            </w:tcMar>
            <w:vAlign w:val="bottom"/>
          </w:tcPr>
          <w:p w14:paraId="3750D99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99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99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99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99E" w14:textId="77777777">
        <w:tc>
          <w:tcPr>
            <w:tcW w:w="0" w:type="auto"/>
            <w:shd w:val="clear" w:color="auto" w:fill="auto"/>
            <w:tcMar>
              <w:top w:w="40" w:type="dxa"/>
              <w:left w:w="240" w:type="dxa"/>
              <w:bottom w:w="40" w:type="dxa"/>
              <w:right w:w="40" w:type="dxa"/>
            </w:tcMar>
          </w:tcPr>
          <w:p w14:paraId="3750D995"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Cash and cash equivalents</w:t>
            </w:r>
          </w:p>
        </w:tc>
        <w:tc>
          <w:tcPr>
            <w:tcW w:w="0" w:type="auto"/>
            <w:shd w:val="clear" w:color="auto" w:fill="auto"/>
            <w:tcMar>
              <w:top w:w="40" w:type="dxa"/>
              <w:left w:w="40" w:type="dxa"/>
              <w:bottom w:w="40" w:type="dxa"/>
              <w:right w:w="40" w:type="dxa"/>
            </w:tcMar>
            <w:vAlign w:val="bottom"/>
          </w:tcPr>
          <w:p w14:paraId="3750D99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997"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D998"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11,380</w:t>
            </w:r>
          </w:p>
        </w:tc>
        <w:tc>
          <w:tcPr>
            <w:tcW w:w="0" w:type="auto"/>
            <w:shd w:val="clear" w:color="auto" w:fill="auto"/>
            <w:vAlign w:val="bottom"/>
          </w:tcPr>
          <w:p w14:paraId="3750D999"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99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99B"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D99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4,194</w:t>
            </w:r>
          </w:p>
        </w:tc>
        <w:tc>
          <w:tcPr>
            <w:tcW w:w="0" w:type="auto"/>
            <w:shd w:val="clear" w:color="auto" w:fill="auto"/>
            <w:vAlign w:val="bottom"/>
          </w:tcPr>
          <w:p w14:paraId="3750D99D" w14:textId="77777777" w:rsidR="002541AD" w:rsidRDefault="002541AD">
            <w:pPr>
              <w:textAlignment w:val="bottom"/>
              <w:rPr>
                <w:rFonts w:ascii="Times New Roman" w:hAnsi="Times New Roman"/>
                <w:sz w:val="20"/>
                <w:szCs w:val="20"/>
              </w:rPr>
            </w:pPr>
          </w:p>
        </w:tc>
      </w:tr>
      <w:tr w:rsidR="002541AD" w14:paraId="3750D9A6" w14:textId="77777777">
        <w:tc>
          <w:tcPr>
            <w:tcW w:w="0" w:type="auto"/>
            <w:shd w:val="clear" w:color="auto" w:fill="auto"/>
            <w:tcMar>
              <w:top w:w="40" w:type="dxa"/>
              <w:left w:w="240" w:type="dxa"/>
              <w:bottom w:w="40" w:type="dxa"/>
              <w:right w:w="40" w:type="dxa"/>
            </w:tcMar>
          </w:tcPr>
          <w:p w14:paraId="3750D99F"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Short-term investments</w:t>
            </w:r>
          </w:p>
        </w:tc>
        <w:tc>
          <w:tcPr>
            <w:tcW w:w="0" w:type="auto"/>
            <w:shd w:val="clear" w:color="auto" w:fill="auto"/>
            <w:tcMar>
              <w:top w:w="40" w:type="dxa"/>
              <w:left w:w="40" w:type="dxa"/>
              <w:bottom w:w="40" w:type="dxa"/>
              <w:right w:w="40" w:type="dxa"/>
            </w:tcMar>
            <w:vAlign w:val="bottom"/>
          </w:tcPr>
          <w:p w14:paraId="3750D9A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A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1,296</w:t>
            </w:r>
          </w:p>
        </w:tc>
        <w:tc>
          <w:tcPr>
            <w:tcW w:w="0" w:type="auto"/>
            <w:shd w:val="clear" w:color="auto" w:fill="auto"/>
            <w:vAlign w:val="bottom"/>
          </w:tcPr>
          <w:p w14:paraId="3750D9A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9A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A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1,082</w:t>
            </w:r>
          </w:p>
        </w:tc>
        <w:tc>
          <w:tcPr>
            <w:tcW w:w="0" w:type="auto"/>
            <w:shd w:val="clear" w:color="auto" w:fill="auto"/>
            <w:vAlign w:val="bottom"/>
          </w:tcPr>
          <w:p w14:paraId="3750D9A5" w14:textId="77777777" w:rsidR="002541AD" w:rsidRDefault="002541AD">
            <w:pPr>
              <w:textAlignment w:val="bottom"/>
              <w:rPr>
                <w:rFonts w:ascii="Times New Roman" w:hAnsi="Times New Roman"/>
                <w:sz w:val="20"/>
                <w:szCs w:val="20"/>
              </w:rPr>
            </w:pPr>
          </w:p>
        </w:tc>
      </w:tr>
      <w:tr w:rsidR="002541AD" w14:paraId="3750D9AE" w14:textId="77777777">
        <w:tc>
          <w:tcPr>
            <w:tcW w:w="0" w:type="auto"/>
            <w:shd w:val="clear" w:color="auto" w:fill="auto"/>
            <w:tcMar>
              <w:top w:w="40" w:type="dxa"/>
              <w:left w:w="240" w:type="dxa"/>
              <w:bottom w:w="40" w:type="dxa"/>
              <w:right w:w="40" w:type="dxa"/>
            </w:tcMar>
          </w:tcPr>
          <w:p w14:paraId="3750D9A7"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Trading assets</w:t>
            </w:r>
          </w:p>
        </w:tc>
        <w:tc>
          <w:tcPr>
            <w:tcW w:w="0" w:type="auto"/>
            <w:shd w:val="clear" w:color="auto" w:fill="auto"/>
            <w:tcMar>
              <w:top w:w="40" w:type="dxa"/>
              <w:left w:w="40" w:type="dxa"/>
              <w:bottom w:w="40" w:type="dxa"/>
              <w:right w:w="40" w:type="dxa"/>
            </w:tcMar>
            <w:vAlign w:val="bottom"/>
          </w:tcPr>
          <w:p w14:paraId="3750D9A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A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8,127</w:t>
            </w:r>
          </w:p>
        </w:tc>
        <w:tc>
          <w:tcPr>
            <w:tcW w:w="0" w:type="auto"/>
            <w:shd w:val="clear" w:color="auto" w:fill="auto"/>
            <w:vAlign w:val="bottom"/>
          </w:tcPr>
          <w:p w14:paraId="3750D9A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9A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A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7,847</w:t>
            </w:r>
          </w:p>
        </w:tc>
        <w:tc>
          <w:tcPr>
            <w:tcW w:w="0" w:type="auto"/>
            <w:shd w:val="clear" w:color="auto" w:fill="auto"/>
            <w:vAlign w:val="bottom"/>
          </w:tcPr>
          <w:p w14:paraId="3750D9AD" w14:textId="77777777" w:rsidR="002541AD" w:rsidRDefault="002541AD">
            <w:pPr>
              <w:textAlignment w:val="bottom"/>
              <w:rPr>
                <w:rFonts w:ascii="Times New Roman" w:hAnsi="Times New Roman"/>
                <w:sz w:val="20"/>
                <w:szCs w:val="20"/>
              </w:rPr>
            </w:pPr>
          </w:p>
        </w:tc>
      </w:tr>
      <w:tr w:rsidR="002541AD" w14:paraId="3750D9B6" w14:textId="77777777">
        <w:tc>
          <w:tcPr>
            <w:tcW w:w="0" w:type="auto"/>
            <w:shd w:val="clear" w:color="auto" w:fill="auto"/>
            <w:tcMar>
              <w:top w:w="40" w:type="dxa"/>
              <w:left w:w="240" w:type="dxa"/>
              <w:bottom w:w="40" w:type="dxa"/>
              <w:right w:w="40" w:type="dxa"/>
            </w:tcMar>
          </w:tcPr>
          <w:p w14:paraId="3750D9AF"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Accounts receivable</w:t>
            </w:r>
          </w:p>
        </w:tc>
        <w:tc>
          <w:tcPr>
            <w:tcW w:w="0" w:type="auto"/>
            <w:shd w:val="clear" w:color="auto" w:fill="auto"/>
            <w:tcMar>
              <w:top w:w="40" w:type="dxa"/>
              <w:left w:w="40" w:type="dxa"/>
              <w:bottom w:w="40" w:type="dxa"/>
              <w:right w:w="40" w:type="dxa"/>
            </w:tcMar>
            <w:vAlign w:val="bottom"/>
          </w:tcPr>
          <w:p w14:paraId="3750D9B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B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8,455</w:t>
            </w:r>
          </w:p>
        </w:tc>
        <w:tc>
          <w:tcPr>
            <w:tcW w:w="0" w:type="auto"/>
            <w:shd w:val="clear" w:color="auto" w:fill="auto"/>
            <w:vAlign w:val="bottom"/>
          </w:tcPr>
          <w:p w14:paraId="3750D9B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9B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B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7,659</w:t>
            </w:r>
          </w:p>
        </w:tc>
        <w:tc>
          <w:tcPr>
            <w:tcW w:w="0" w:type="auto"/>
            <w:shd w:val="clear" w:color="auto" w:fill="auto"/>
            <w:vAlign w:val="bottom"/>
          </w:tcPr>
          <w:p w14:paraId="3750D9B5" w14:textId="77777777" w:rsidR="002541AD" w:rsidRDefault="002541AD">
            <w:pPr>
              <w:textAlignment w:val="bottom"/>
              <w:rPr>
                <w:rFonts w:ascii="Times New Roman" w:hAnsi="Times New Roman"/>
                <w:sz w:val="20"/>
                <w:szCs w:val="20"/>
              </w:rPr>
            </w:pPr>
          </w:p>
        </w:tc>
      </w:tr>
      <w:tr w:rsidR="002541AD" w14:paraId="3750D9BE" w14:textId="77777777">
        <w:tc>
          <w:tcPr>
            <w:tcW w:w="0" w:type="auto"/>
            <w:shd w:val="clear" w:color="auto" w:fill="auto"/>
            <w:tcMar>
              <w:top w:w="40" w:type="dxa"/>
              <w:left w:w="240" w:type="dxa"/>
              <w:bottom w:w="40" w:type="dxa"/>
              <w:right w:w="40" w:type="dxa"/>
            </w:tcMar>
          </w:tcPr>
          <w:p w14:paraId="3750D9B7"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Inventories</w:t>
            </w:r>
          </w:p>
        </w:tc>
        <w:tc>
          <w:tcPr>
            <w:tcW w:w="0" w:type="auto"/>
            <w:shd w:val="clear" w:color="auto" w:fill="auto"/>
            <w:tcMar>
              <w:top w:w="40" w:type="dxa"/>
              <w:left w:w="40" w:type="dxa"/>
              <w:bottom w:w="40" w:type="dxa"/>
              <w:right w:w="40" w:type="dxa"/>
            </w:tcMar>
            <w:vAlign w:val="bottom"/>
          </w:tcPr>
          <w:p w14:paraId="3750D9B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B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9,246</w:t>
            </w:r>
          </w:p>
        </w:tc>
        <w:tc>
          <w:tcPr>
            <w:tcW w:w="0" w:type="auto"/>
            <w:shd w:val="clear" w:color="auto" w:fill="auto"/>
            <w:vAlign w:val="bottom"/>
          </w:tcPr>
          <w:p w14:paraId="3750D9B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9B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B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8,744</w:t>
            </w:r>
          </w:p>
        </w:tc>
        <w:tc>
          <w:tcPr>
            <w:tcW w:w="0" w:type="auto"/>
            <w:shd w:val="clear" w:color="auto" w:fill="auto"/>
            <w:vAlign w:val="bottom"/>
          </w:tcPr>
          <w:p w14:paraId="3750D9BD" w14:textId="77777777" w:rsidR="002541AD" w:rsidRDefault="002541AD">
            <w:pPr>
              <w:textAlignment w:val="bottom"/>
              <w:rPr>
                <w:rFonts w:ascii="Times New Roman" w:hAnsi="Times New Roman"/>
                <w:sz w:val="20"/>
                <w:szCs w:val="20"/>
              </w:rPr>
            </w:pPr>
          </w:p>
        </w:tc>
      </w:tr>
      <w:tr w:rsidR="002541AD" w14:paraId="3750D9C6" w14:textId="77777777">
        <w:tc>
          <w:tcPr>
            <w:tcW w:w="0" w:type="auto"/>
            <w:shd w:val="clear" w:color="auto" w:fill="auto"/>
            <w:tcMar>
              <w:top w:w="40" w:type="dxa"/>
              <w:left w:w="240" w:type="dxa"/>
              <w:bottom w:w="40" w:type="dxa"/>
              <w:right w:w="40" w:type="dxa"/>
            </w:tcMar>
          </w:tcPr>
          <w:p w14:paraId="3750D9BF"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Other current assets</w:t>
            </w:r>
          </w:p>
        </w:tc>
        <w:tc>
          <w:tcPr>
            <w:tcW w:w="0" w:type="auto"/>
            <w:shd w:val="clear" w:color="auto" w:fill="auto"/>
            <w:tcMar>
              <w:top w:w="40" w:type="dxa"/>
              <w:left w:w="40" w:type="dxa"/>
              <w:bottom w:w="40" w:type="dxa"/>
              <w:right w:w="40" w:type="dxa"/>
            </w:tcMar>
            <w:vAlign w:val="bottom"/>
          </w:tcPr>
          <w:p w14:paraId="3750D9C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C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2,997</w:t>
            </w:r>
          </w:p>
        </w:tc>
        <w:tc>
          <w:tcPr>
            <w:tcW w:w="0" w:type="auto"/>
            <w:shd w:val="clear" w:color="auto" w:fill="auto"/>
            <w:vAlign w:val="bottom"/>
          </w:tcPr>
          <w:p w14:paraId="3750D9C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9C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C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1,713</w:t>
            </w:r>
          </w:p>
        </w:tc>
        <w:tc>
          <w:tcPr>
            <w:tcW w:w="0" w:type="auto"/>
            <w:shd w:val="clear" w:color="auto" w:fill="auto"/>
            <w:vAlign w:val="bottom"/>
          </w:tcPr>
          <w:p w14:paraId="3750D9C5" w14:textId="77777777" w:rsidR="002541AD" w:rsidRDefault="002541AD">
            <w:pPr>
              <w:textAlignment w:val="bottom"/>
              <w:rPr>
                <w:rFonts w:ascii="Times New Roman" w:hAnsi="Times New Roman"/>
                <w:sz w:val="20"/>
                <w:szCs w:val="20"/>
              </w:rPr>
            </w:pPr>
          </w:p>
        </w:tc>
      </w:tr>
      <w:tr w:rsidR="002541AD" w14:paraId="3750D9CE" w14:textId="77777777">
        <w:tc>
          <w:tcPr>
            <w:tcW w:w="0" w:type="auto"/>
            <w:shd w:val="clear" w:color="auto" w:fill="auto"/>
            <w:tcMar>
              <w:top w:w="40" w:type="dxa"/>
              <w:left w:w="40" w:type="dxa"/>
              <w:bottom w:w="40" w:type="dxa"/>
              <w:right w:w="40" w:type="dxa"/>
            </w:tcMar>
          </w:tcPr>
          <w:p w14:paraId="3750D9C7"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Total current assets</w:t>
            </w:r>
          </w:p>
        </w:tc>
        <w:tc>
          <w:tcPr>
            <w:tcW w:w="0" w:type="auto"/>
            <w:shd w:val="clear" w:color="auto" w:fill="auto"/>
            <w:tcMar>
              <w:top w:w="40" w:type="dxa"/>
              <w:left w:w="40" w:type="dxa"/>
              <w:bottom w:w="40" w:type="dxa"/>
              <w:right w:w="40" w:type="dxa"/>
            </w:tcMar>
            <w:vAlign w:val="bottom"/>
          </w:tcPr>
          <w:p w14:paraId="3750D9C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D9C9"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41,501</w:t>
            </w:r>
          </w:p>
        </w:tc>
        <w:tc>
          <w:tcPr>
            <w:tcW w:w="0" w:type="auto"/>
            <w:tcBorders>
              <w:top w:val="single" w:sz="8" w:space="0" w:color="333333"/>
              <w:bottom w:val="single" w:sz="8" w:space="0" w:color="333333"/>
            </w:tcBorders>
            <w:shd w:val="clear" w:color="auto" w:fill="auto"/>
            <w:vAlign w:val="bottom"/>
          </w:tcPr>
          <w:p w14:paraId="3750D9C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9C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D9CC"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31,239</w:t>
            </w:r>
          </w:p>
        </w:tc>
        <w:tc>
          <w:tcPr>
            <w:tcW w:w="0" w:type="auto"/>
            <w:tcBorders>
              <w:top w:val="single" w:sz="8" w:space="0" w:color="333333"/>
              <w:bottom w:val="single" w:sz="8" w:space="0" w:color="333333"/>
            </w:tcBorders>
            <w:shd w:val="clear" w:color="auto" w:fill="auto"/>
            <w:vAlign w:val="bottom"/>
          </w:tcPr>
          <w:p w14:paraId="3750D9CD" w14:textId="77777777" w:rsidR="002541AD" w:rsidRDefault="002541AD">
            <w:pPr>
              <w:textAlignment w:val="bottom"/>
              <w:rPr>
                <w:rFonts w:ascii="Times New Roman" w:hAnsi="Times New Roman"/>
                <w:sz w:val="20"/>
                <w:szCs w:val="20"/>
              </w:rPr>
            </w:pPr>
          </w:p>
        </w:tc>
      </w:tr>
      <w:tr w:rsidR="002541AD" w14:paraId="3750D9D6" w14:textId="77777777">
        <w:tc>
          <w:tcPr>
            <w:tcW w:w="0" w:type="auto"/>
            <w:shd w:val="clear" w:color="auto" w:fill="auto"/>
            <w:tcMar>
              <w:top w:w="40" w:type="dxa"/>
              <w:left w:w="40" w:type="dxa"/>
              <w:bottom w:w="40" w:type="dxa"/>
              <w:right w:w="40" w:type="dxa"/>
            </w:tcMar>
          </w:tcPr>
          <w:p w14:paraId="3750D9CF"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 xml:space="preserve">Property, plant and equipment, net of accumulated </w:t>
            </w:r>
            <w:r>
              <w:rPr>
                <w:rFonts w:ascii="Arial" w:eastAsia="宋体" w:hAnsi="Arial" w:cs="Arial"/>
                <w:b/>
                <w:bCs/>
                <w:color w:val="333333"/>
                <w:sz w:val="18"/>
                <w:szCs w:val="18"/>
              </w:rPr>
              <w:t>depreciation of $75,686 ($73,321 as of December 28, 2019)</w:t>
            </w:r>
          </w:p>
        </w:tc>
        <w:tc>
          <w:tcPr>
            <w:tcW w:w="0" w:type="auto"/>
            <w:shd w:val="clear" w:color="auto" w:fill="auto"/>
            <w:tcMar>
              <w:top w:w="40" w:type="dxa"/>
              <w:left w:w="40" w:type="dxa"/>
              <w:bottom w:w="40" w:type="dxa"/>
              <w:right w:w="40" w:type="dxa"/>
            </w:tcMar>
            <w:vAlign w:val="bottom"/>
          </w:tcPr>
          <w:p w14:paraId="3750D9D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D1"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56,770</w:t>
            </w:r>
          </w:p>
        </w:tc>
        <w:tc>
          <w:tcPr>
            <w:tcW w:w="0" w:type="auto"/>
            <w:shd w:val="clear" w:color="auto" w:fill="auto"/>
            <w:vAlign w:val="bottom"/>
          </w:tcPr>
          <w:p w14:paraId="3750D9D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9D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D4"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55,386</w:t>
            </w:r>
          </w:p>
        </w:tc>
        <w:tc>
          <w:tcPr>
            <w:tcW w:w="0" w:type="auto"/>
            <w:shd w:val="clear" w:color="auto" w:fill="auto"/>
            <w:vAlign w:val="bottom"/>
          </w:tcPr>
          <w:p w14:paraId="3750D9D5" w14:textId="77777777" w:rsidR="002541AD" w:rsidRDefault="002541AD">
            <w:pPr>
              <w:textAlignment w:val="bottom"/>
              <w:rPr>
                <w:rFonts w:ascii="Times New Roman" w:hAnsi="Times New Roman"/>
                <w:sz w:val="20"/>
                <w:szCs w:val="20"/>
              </w:rPr>
            </w:pPr>
          </w:p>
        </w:tc>
      </w:tr>
      <w:tr w:rsidR="002541AD" w14:paraId="3750D9DE" w14:textId="77777777">
        <w:tc>
          <w:tcPr>
            <w:tcW w:w="0" w:type="auto"/>
            <w:shd w:val="clear" w:color="auto" w:fill="auto"/>
            <w:tcMar>
              <w:top w:w="40" w:type="dxa"/>
              <w:left w:w="40" w:type="dxa"/>
              <w:bottom w:w="40" w:type="dxa"/>
              <w:right w:w="40" w:type="dxa"/>
            </w:tcMar>
          </w:tcPr>
          <w:p w14:paraId="3750D9D7"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Equity investments</w:t>
            </w:r>
          </w:p>
        </w:tc>
        <w:tc>
          <w:tcPr>
            <w:tcW w:w="0" w:type="auto"/>
            <w:shd w:val="clear" w:color="auto" w:fill="auto"/>
            <w:tcMar>
              <w:top w:w="40" w:type="dxa"/>
              <w:left w:w="40" w:type="dxa"/>
              <w:bottom w:w="40" w:type="dxa"/>
              <w:right w:w="40" w:type="dxa"/>
            </w:tcMar>
            <w:vAlign w:val="bottom"/>
          </w:tcPr>
          <w:p w14:paraId="3750D9D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D9"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3,880</w:t>
            </w:r>
          </w:p>
        </w:tc>
        <w:tc>
          <w:tcPr>
            <w:tcW w:w="0" w:type="auto"/>
            <w:shd w:val="clear" w:color="auto" w:fill="auto"/>
            <w:vAlign w:val="bottom"/>
          </w:tcPr>
          <w:p w14:paraId="3750D9D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9D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DC"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3,967</w:t>
            </w:r>
          </w:p>
        </w:tc>
        <w:tc>
          <w:tcPr>
            <w:tcW w:w="0" w:type="auto"/>
            <w:shd w:val="clear" w:color="auto" w:fill="auto"/>
            <w:vAlign w:val="bottom"/>
          </w:tcPr>
          <w:p w14:paraId="3750D9DD" w14:textId="77777777" w:rsidR="002541AD" w:rsidRDefault="002541AD">
            <w:pPr>
              <w:textAlignment w:val="bottom"/>
              <w:rPr>
                <w:rFonts w:ascii="Times New Roman" w:hAnsi="Times New Roman"/>
                <w:sz w:val="20"/>
                <w:szCs w:val="20"/>
              </w:rPr>
            </w:pPr>
          </w:p>
        </w:tc>
      </w:tr>
      <w:tr w:rsidR="002541AD" w14:paraId="3750D9E6" w14:textId="77777777">
        <w:tc>
          <w:tcPr>
            <w:tcW w:w="0" w:type="auto"/>
            <w:shd w:val="clear" w:color="auto" w:fill="auto"/>
            <w:tcMar>
              <w:top w:w="40" w:type="dxa"/>
              <w:left w:w="40" w:type="dxa"/>
              <w:bottom w:w="40" w:type="dxa"/>
              <w:right w:w="40" w:type="dxa"/>
            </w:tcMar>
          </w:tcPr>
          <w:p w14:paraId="3750D9DF"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Other long-term investments</w:t>
            </w:r>
          </w:p>
        </w:tc>
        <w:tc>
          <w:tcPr>
            <w:tcW w:w="0" w:type="auto"/>
            <w:shd w:val="clear" w:color="auto" w:fill="auto"/>
            <w:tcMar>
              <w:top w:w="40" w:type="dxa"/>
              <w:left w:w="40" w:type="dxa"/>
              <w:bottom w:w="40" w:type="dxa"/>
              <w:right w:w="40" w:type="dxa"/>
            </w:tcMar>
            <w:vAlign w:val="bottom"/>
          </w:tcPr>
          <w:p w14:paraId="3750D9E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E1"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2,943</w:t>
            </w:r>
          </w:p>
        </w:tc>
        <w:tc>
          <w:tcPr>
            <w:tcW w:w="0" w:type="auto"/>
            <w:shd w:val="clear" w:color="auto" w:fill="auto"/>
            <w:vAlign w:val="bottom"/>
          </w:tcPr>
          <w:p w14:paraId="3750D9E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9E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E4"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3,276</w:t>
            </w:r>
          </w:p>
        </w:tc>
        <w:tc>
          <w:tcPr>
            <w:tcW w:w="0" w:type="auto"/>
            <w:shd w:val="clear" w:color="auto" w:fill="auto"/>
            <w:vAlign w:val="bottom"/>
          </w:tcPr>
          <w:p w14:paraId="3750D9E5" w14:textId="77777777" w:rsidR="002541AD" w:rsidRDefault="002541AD">
            <w:pPr>
              <w:textAlignment w:val="bottom"/>
              <w:rPr>
                <w:rFonts w:ascii="Times New Roman" w:hAnsi="Times New Roman"/>
                <w:sz w:val="20"/>
                <w:szCs w:val="20"/>
              </w:rPr>
            </w:pPr>
          </w:p>
        </w:tc>
      </w:tr>
      <w:tr w:rsidR="002541AD" w14:paraId="3750D9EE" w14:textId="77777777">
        <w:tc>
          <w:tcPr>
            <w:tcW w:w="0" w:type="auto"/>
            <w:shd w:val="clear" w:color="auto" w:fill="auto"/>
            <w:tcMar>
              <w:top w:w="40" w:type="dxa"/>
              <w:left w:w="40" w:type="dxa"/>
              <w:bottom w:w="40" w:type="dxa"/>
              <w:right w:w="40" w:type="dxa"/>
            </w:tcMar>
          </w:tcPr>
          <w:p w14:paraId="3750D9E7"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Goodwill</w:t>
            </w:r>
          </w:p>
        </w:tc>
        <w:tc>
          <w:tcPr>
            <w:tcW w:w="0" w:type="auto"/>
            <w:shd w:val="clear" w:color="auto" w:fill="auto"/>
            <w:tcMar>
              <w:top w:w="40" w:type="dxa"/>
              <w:left w:w="40" w:type="dxa"/>
              <w:bottom w:w="40" w:type="dxa"/>
              <w:right w:w="40" w:type="dxa"/>
            </w:tcMar>
            <w:vAlign w:val="bottom"/>
          </w:tcPr>
          <w:p w14:paraId="3750D9E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E9"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26,276</w:t>
            </w:r>
          </w:p>
        </w:tc>
        <w:tc>
          <w:tcPr>
            <w:tcW w:w="0" w:type="auto"/>
            <w:shd w:val="clear" w:color="auto" w:fill="auto"/>
            <w:vAlign w:val="bottom"/>
          </w:tcPr>
          <w:p w14:paraId="3750D9E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9E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EC"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26,276</w:t>
            </w:r>
          </w:p>
        </w:tc>
        <w:tc>
          <w:tcPr>
            <w:tcW w:w="0" w:type="auto"/>
            <w:shd w:val="clear" w:color="auto" w:fill="auto"/>
            <w:vAlign w:val="bottom"/>
          </w:tcPr>
          <w:p w14:paraId="3750D9ED" w14:textId="77777777" w:rsidR="002541AD" w:rsidRDefault="002541AD">
            <w:pPr>
              <w:textAlignment w:val="bottom"/>
              <w:rPr>
                <w:rFonts w:ascii="Times New Roman" w:hAnsi="Times New Roman"/>
                <w:sz w:val="20"/>
                <w:szCs w:val="20"/>
              </w:rPr>
            </w:pPr>
          </w:p>
        </w:tc>
      </w:tr>
      <w:tr w:rsidR="002541AD" w14:paraId="3750D9F6" w14:textId="77777777">
        <w:tc>
          <w:tcPr>
            <w:tcW w:w="0" w:type="auto"/>
            <w:shd w:val="clear" w:color="auto" w:fill="auto"/>
            <w:tcMar>
              <w:top w:w="40" w:type="dxa"/>
              <w:left w:w="40" w:type="dxa"/>
              <w:bottom w:w="40" w:type="dxa"/>
              <w:right w:w="40" w:type="dxa"/>
            </w:tcMar>
          </w:tcPr>
          <w:p w14:paraId="3750D9EF"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Identified intangible assets, net</w:t>
            </w:r>
          </w:p>
        </w:tc>
        <w:tc>
          <w:tcPr>
            <w:tcW w:w="0" w:type="auto"/>
            <w:shd w:val="clear" w:color="auto" w:fill="auto"/>
            <w:tcMar>
              <w:top w:w="40" w:type="dxa"/>
              <w:left w:w="40" w:type="dxa"/>
              <w:bottom w:w="40" w:type="dxa"/>
              <w:right w:w="40" w:type="dxa"/>
            </w:tcMar>
            <w:vAlign w:val="bottom"/>
          </w:tcPr>
          <w:p w14:paraId="3750D9F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F1"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10,429</w:t>
            </w:r>
          </w:p>
        </w:tc>
        <w:tc>
          <w:tcPr>
            <w:tcW w:w="0" w:type="auto"/>
            <w:shd w:val="clear" w:color="auto" w:fill="auto"/>
            <w:vAlign w:val="bottom"/>
          </w:tcPr>
          <w:p w14:paraId="3750D9F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9F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F4"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10,827</w:t>
            </w:r>
          </w:p>
        </w:tc>
        <w:tc>
          <w:tcPr>
            <w:tcW w:w="0" w:type="auto"/>
            <w:shd w:val="clear" w:color="auto" w:fill="auto"/>
            <w:vAlign w:val="bottom"/>
          </w:tcPr>
          <w:p w14:paraId="3750D9F5" w14:textId="77777777" w:rsidR="002541AD" w:rsidRDefault="002541AD">
            <w:pPr>
              <w:textAlignment w:val="bottom"/>
              <w:rPr>
                <w:rFonts w:ascii="Times New Roman" w:hAnsi="Times New Roman"/>
                <w:sz w:val="20"/>
                <w:szCs w:val="20"/>
              </w:rPr>
            </w:pPr>
          </w:p>
        </w:tc>
      </w:tr>
      <w:tr w:rsidR="002541AD" w14:paraId="3750D9FE" w14:textId="77777777">
        <w:tc>
          <w:tcPr>
            <w:tcW w:w="0" w:type="auto"/>
            <w:shd w:val="clear" w:color="auto" w:fill="auto"/>
            <w:tcMar>
              <w:top w:w="40" w:type="dxa"/>
              <w:left w:w="40" w:type="dxa"/>
              <w:bottom w:w="40" w:type="dxa"/>
              <w:right w:w="40" w:type="dxa"/>
            </w:tcMar>
          </w:tcPr>
          <w:p w14:paraId="3750D9F7"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Other long-term assets</w:t>
            </w:r>
          </w:p>
        </w:tc>
        <w:tc>
          <w:tcPr>
            <w:tcW w:w="0" w:type="auto"/>
            <w:shd w:val="clear" w:color="auto" w:fill="auto"/>
            <w:tcMar>
              <w:top w:w="40" w:type="dxa"/>
              <w:left w:w="40" w:type="dxa"/>
              <w:bottom w:w="40" w:type="dxa"/>
              <w:right w:w="40" w:type="dxa"/>
            </w:tcMar>
            <w:vAlign w:val="bottom"/>
          </w:tcPr>
          <w:p w14:paraId="3750D9F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F9"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5,911</w:t>
            </w:r>
          </w:p>
        </w:tc>
        <w:tc>
          <w:tcPr>
            <w:tcW w:w="0" w:type="auto"/>
            <w:shd w:val="clear" w:color="auto" w:fill="auto"/>
            <w:vAlign w:val="bottom"/>
          </w:tcPr>
          <w:p w14:paraId="3750D9F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9F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9FC"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5,553</w:t>
            </w:r>
          </w:p>
        </w:tc>
        <w:tc>
          <w:tcPr>
            <w:tcW w:w="0" w:type="auto"/>
            <w:shd w:val="clear" w:color="auto" w:fill="auto"/>
            <w:vAlign w:val="bottom"/>
          </w:tcPr>
          <w:p w14:paraId="3750D9FD" w14:textId="77777777" w:rsidR="002541AD" w:rsidRDefault="002541AD">
            <w:pPr>
              <w:textAlignment w:val="bottom"/>
              <w:rPr>
                <w:rFonts w:ascii="Times New Roman" w:hAnsi="Times New Roman"/>
                <w:sz w:val="20"/>
                <w:szCs w:val="20"/>
              </w:rPr>
            </w:pPr>
          </w:p>
        </w:tc>
      </w:tr>
      <w:tr w:rsidR="002541AD" w14:paraId="3750DA08" w14:textId="77777777">
        <w:tc>
          <w:tcPr>
            <w:tcW w:w="0" w:type="auto"/>
            <w:shd w:val="clear" w:color="auto" w:fill="auto"/>
            <w:tcMar>
              <w:top w:w="40" w:type="dxa"/>
              <w:left w:w="40" w:type="dxa"/>
              <w:bottom w:w="40" w:type="dxa"/>
              <w:right w:w="40" w:type="dxa"/>
            </w:tcMar>
          </w:tcPr>
          <w:p w14:paraId="3750D9FF"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Total assets</w:t>
            </w:r>
          </w:p>
        </w:tc>
        <w:tc>
          <w:tcPr>
            <w:tcW w:w="0" w:type="auto"/>
            <w:shd w:val="clear" w:color="auto" w:fill="auto"/>
            <w:tcMar>
              <w:top w:w="40" w:type="dxa"/>
              <w:left w:w="40" w:type="dxa"/>
              <w:bottom w:w="40" w:type="dxa"/>
              <w:right w:w="40" w:type="dxa"/>
            </w:tcMar>
            <w:vAlign w:val="bottom"/>
          </w:tcPr>
          <w:p w14:paraId="3750DA0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DA01"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DA02"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147,710</w:t>
            </w:r>
          </w:p>
        </w:tc>
        <w:tc>
          <w:tcPr>
            <w:tcW w:w="0" w:type="auto"/>
            <w:tcBorders>
              <w:top w:val="single" w:sz="8" w:space="0" w:color="333333"/>
              <w:bottom w:val="double" w:sz="6" w:space="0" w:color="333333"/>
            </w:tcBorders>
            <w:shd w:val="clear" w:color="auto" w:fill="auto"/>
            <w:vAlign w:val="bottom"/>
          </w:tcPr>
          <w:p w14:paraId="3750DA0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A0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DA05"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DA06"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136,524</w:t>
            </w:r>
          </w:p>
        </w:tc>
        <w:tc>
          <w:tcPr>
            <w:tcW w:w="0" w:type="auto"/>
            <w:tcBorders>
              <w:top w:val="single" w:sz="8" w:space="0" w:color="333333"/>
              <w:bottom w:val="double" w:sz="6" w:space="0" w:color="333333"/>
            </w:tcBorders>
            <w:shd w:val="clear" w:color="auto" w:fill="auto"/>
            <w:vAlign w:val="bottom"/>
          </w:tcPr>
          <w:p w14:paraId="3750DA07" w14:textId="77777777" w:rsidR="002541AD" w:rsidRDefault="002541AD">
            <w:pPr>
              <w:textAlignment w:val="bottom"/>
              <w:rPr>
                <w:rFonts w:ascii="Times New Roman" w:hAnsi="Times New Roman"/>
                <w:sz w:val="20"/>
                <w:szCs w:val="20"/>
              </w:rPr>
            </w:pPr>
          </w:p>
        </w:tc>
      </w:tr>
      <w:tr w:rsidR="002541AD" w14:paraId="3750DA0E" w14:textId="77777777">
        <w:tc>
          <w:tcPr>
            <w:tcW w:w="0" w:type="auto"/>
            <w:shd w:val="clear" w:color="auto" w:fill="auto"/>
            <w:tcMar>
              <w:top w:w="40" w:type="dxa"/>
              <w:left w:w="40" w:type="dxa"/>
              <w:bottom w:w="40" w:type="dxa"/>
              <w:right w:w="40" w:type="dxa"/>
            </w:tcMar>
            <w:vAlign w:val="bottom"/>
          </w:tcPr>
          <w:p w14:paraId="3750DA0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A0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A0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A0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A0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A14" w14:textId="77777777">
        <w:tc>
          <w:tcPr>
            <w:tcW w:w="0" w:type="auto"/>
            <w:shd w:val="clear" w:color="auto" w:fill="auto"/>
            <w:tcMar>
              <w:top w:w="40" w:type="dxa"/>
              <w:left w:w="40" w:type="dxa"/>
              <w:bottom w:w="40" w:type="dxa"/>
              <w:right w:w="40" w:type="dxa"/>
            </w:tcMar>
          </w:tcPr>
          <w:p w14:paraId="3750DA0F"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Liabilities, temporary equity, and stockholders’ equity</w:t>
            </w:r>
          </w:p>
        </w:tc>
        <w:tc>
          <w:tcPr>
            <w:tcW w:w="0" w:type="auto"/>
            <w:shd w:val="clear" w:color="auto" w:fill="auto"/>
            <w:tcMar>
              <w:top w:w="40" w:type="dxa"/>
              <w:left w:w="40" w:type="dxa"/>
              <w:bottom w:w="40" w:type="dxa"/>
              <w:right w:w="40" w:type="dxa"/>
            </w:tcMar>
            <w:vAlign w:val="bottom"/>
          </w:tcPr>
          <w:p w14:paraId="3750DA1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A1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A1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A1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A1A" w14:textId="77777777">
        <w:tc>
          <w:tcPr>
            <w:tcW w:w="0" w:type="auto"/>
            <w:shd w:val="clear" w:color="auto" w:fill="auto"/>
            <w:tcMar>
              <w:top w:w="40" w:type="dxa"/>
              <w:left w:w="40" w:type="dxa"/>
              <w:bottom w:w="40" w:type="dxa"/>
              <w:right w:w="40" w:type="dxa"/>
            </w:tcMar>
          </w:tcPr>
          <w:p w14:paraId="3750DA15"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Current liabilities:</w:t>
            </w:r>
          </w:p>
        </w:tc>
        <w:tc>
          <w:tcPr>
            <w:tcW w:w="0" w:type="auto"/>
            <w:shd w:val="clear" w:color="auto" w:fill="auto"/>
            <w:tcMar>
              <w:top w:w="40" w:type="dxa"/>
              <w:left w:w="40" w:type="dxa"/>
              <w:bottom w:w="40" w:type="dxa"/>
              <w:right w:w="40" w:type="dxa"/>
            </w:tcMar>
            <w:vAlign w:val="bottom"/>
          </w:tcPr>
          <w:p w14:paraId="3750DA1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A1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A1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A1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A24" w14:textId="77777777">
        <w:tc>
          <w:tcPr>
            <w:tcW w:w="0" w:type="auto"/>
            <w:shd w:val="clear" w:color="auto" w:fill="auto"/>
            <w:tcMar>
              <w:top w:w="40" w:type="dxa"/>
              <w:left w:w="240" w:type="dxa"/>
              <w:bottom w:w="40" w:type="dxa"/>
              <w:right w:w="40" w:type="dxa"/>
            </w:tcMar>
          </w:tcPr>
          <w:p w14:paraId="3750DA1B"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Short-term debt</w:t>
            </w:r>
          </w:p>
        </w:tc>
        <w:tc>
          <w:tcPr>
            <w:tcW w:w="0" w:type="auto"/>
            <w:shd w:val="clear" w:color="auto" w:fill="auto"/>
            <w:tcMar>
              <w:top w:w="40" w:type="dxa"/>
              <w:left w:w="40" w:type="dxa"/>
              <w:bottom w:w="40" w:type="dxa"/>
              <w:right w:w="40" w:type="dxa"/>
            </w:tcMar>
            <w:vAlign w:val="bottom"/>
          </w:tcPr>
          <w:p w14:paraId="3750DA1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A1D"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DA1E"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3,464</w:t>
            </w:r>
          </w:p>
        </w:tc>
        <w:tc>
          <w:tcPr>
            <w:tcW w:w="0" w:type="auto"/>
            <w:shd w:val="clear" w:color="auto" w:fill="auto"/>
            <w:vAlign w:val="bottom"/>
          </w:tcPr>
          <w:p w14:paraId="3750DA1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A2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A21"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DA2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3,693</w:t>
            </w:r>
          </w:p>
        </w:tc>
        <w:tc>
          <w:tcPr>
            <w:tcW w:w="0" w:type="auto"/>
            <w:shd w:val="clear" w:color="auto" w:fill="auto"/>
            <w:vAlign w:val="bottom"/>
          </w:tcPr>
          <w:p w14:paraId="3750DA23" w14:textId="77777777" w:rsidR="002541AD" w:rsidRDefault="002541AD">
            <w:pPr>
              <w:textAlignment w:val="bottom"/>
              <w:rPr>
                <w:rFonts w:ascii="Times New Roman" w:hAnsi="Times New Roman"/>
                <w:sz w:val="20"/>
                <w:szCs w:val="20"/>
              </w:rPr>
            </w:pPr>
          </w:p>
        </w:tc>
      </w:tr>
      <w:tr w:rsidR="002541AD" w14:paraId="3750DA2C" w14:textId="77777777">
        <w:tc>
          <w:tcPr>
            <w:tcW w:w="0" w:type="auto"/>
            <w:shd w:val="clear" w:color="auto" w:fill="auto"/>
            <w:tcMar>
              <w:top w:w="40" w:type="dxa"/>
              <w:left w:w="240" w:type="dxa"/>
              <w:bottom w:w="40" w:type="dxa"/>
              <w:right w:w="40" w:type="dxa"/>
            </w:tcMar>
          </w:tcPr>
          <w:p w14:paraId="3750DA25"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Accounts payable</w:t>
            </w:r>
          </w:p>
        </w:tc>
        <w:tc>
          <w:tcPr>
            <w:tcW w:w="0" w:type="auto"/>
            <w:shd w:val="clear" w:color="auto" w:fill="auto"/>
            <w:tcMar>
              <w:top w:w="40" w:type="dxa"/>
              <w:left w:w="40" w:type="dxa"/>
              <w:bottom w:w="40" w:type="dxa"/>
              <w:right w:w="40" w:type="dxa"/>
            </w:tcMar>
            <w:vAlign w:val="bottom"/>
          </w:tcPr>
          <w:p w14:paraId="3750DA2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2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4,638</w:t>
            </w:r>
          </w:p>
        </w:tc>
        <w:tc>
          <w:tcPr>
            <w:tcW w:w="0" w:type="auto"/>
            <w:shd w:val="clear" w:color="auto" w:fill="auto"/>
            <w:vAlign w:val="bottom"/>
          </w:tcPr>
          <w:p w14:paraId="3750DA2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A2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2A"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4,128</w:t>
            </w:r>
          </w:p>
        </w:tc>
        <w:tc>
          <w:tcPr>
            <w:tcW w:w="0" w:type="auto"/>
            <w:shd w:val="clear" w:color="auto" w:fill="auto"/>
            <w:vAlign w:val="bottom"/>
          </w:tcPr>
          <w:p w14:paraId="3750DA2B" w14:textId="77777777" w:rsidR="002541AD" w:rsidRDefault="002541AD">
            <w:pPr>
              <w:textAlignment w:val="bottom"/>
              <w:rPr>
                <w:rFonts w:ascii="Times New Roman" w:hAnsi="Times New Roman"/>
                <w:sz w:val="20"/>
                <w:szCs w:val="20"/>
              </w:rPr>
            </w:pPr>
          </w:p>
        </w:tc>
      </w:tr>
      <w:tr w:rsidR="002541AD" w14:paraId="3750DA34" w14:textId="77777777">
        <w:tc>
          <w:tcPr>
            <w:tcW w:w="0" w:type="auto"/>
            <w:shd w:val="clear" w:color="auto" w:fill="auto"/>
            <w:tcMar>
              <w:top w:w="40" w:type="dxa"/>
              <w:left w:w="240" w:type="dxa"/>
              <w:bottom w:w="40" w:type="dxa"/>
              <w:right w:w="40" w:type="dxa"/>
            </w:tcMar>
          </w:tcPr>
          <w:p w14:paraId="3750DA2D"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Accrued compensation and benefits</w:t>
            </w:r>
          </w:p>
        </w:tc>
        <w:tc>
          <w:tcPr>
            <w:tcW w:w="0" w:type="auto"/>
            <w:shd w:val="clear" w:color="auto" w:fill="auto"/>
            <w:tcMar>
              <w:top w:w="40" w:type="dxa"/>
              <w:left w:w="40" w:type="dxa"/>
              <w:bottom w:w="40" w:type="dxa"/>
              <w:right w:w="40" w:type="dxa"/>
            </w:tcMar>
            <w:vAlign w:val="bottom"/>
          </w:tcPr>
          <w:p w14:paraId="3750DA2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2F"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2,358</w:t>
            </w:r>
          </w:p>
        </w:tc>
        <w:tc>
          <w:tcPr>
            <w:tcW w:w="0" w:type="auto"/>
            <w:shd w:val="clear" w:color="auto" w:fill="auto"/>
            <w:vAlign w:val="bottom"/>
          </w:tcPr>
          <w:p w14:paraId="3750DA3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A3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3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3,853</w:t>
            </w:r>
          </w:p>
        </w:tc>
        <w:tc>
          <w:tcPr>
            <w:tcW w:w="0" w:type="auto"/>
            <w:shd w:val="clear" w:color="auto" w:fill="auto"/>
            <w:vAlign w:val="bottom"/>
          </w:tcPr>
          <w:p w14:paraId="3750DA33" w14:textId="77777777" w:rsidR="002541AD" w:rsidRDefault="002541AD">
            <w:pPr>
              <w:textAlignment w:val="bottom"/>
              <w:rPr>
                <w:rFonts w:ascii="Times New Roman" w:hAnsi="Times New Roman"/>
                <w:sz w:val="20"/>
                <w:szCs w:val="20"/>
              </w:rPr>
            </w:pPr>
          </w:p>
        </w:tc>
      </w:tr>
      <w:tr w:rsidR="002541AD" w14:paraId="3750DA3C" w14:textId="77777777">
        <w:tc>
          <w:tcPr>
            <w:tcW w:w="0" w:type="auto"/>
            <w:shd w:val="clear" w:color="auto" w:fill="auto"/>
            <w:tcMar>
              <w:top w:w="40" w:type="dxa"/>
              <w:left w:w="240" w:type="dxa"/>
              <w:bottom w:w="40" w:type="dxa"/>
              <w:right w:w="40" w:type="dxa"/>
            </w:tcMar>
          </w:tcPr>
          <w:p w14:paraId="3750DA35"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Other accrued liabilities</w:t>
            </w:r>
          </w:p>
        </w:tc>
        <w:tc>
          <w:tcPr>
            <w:tcW w:w="0" w:type="auto"/>
            <w:shd w:val="clear" w:color="auto" w:fill="auto"/>
            <w:tcMar>
              <w:top w:w="40" w:type="dxa"/>
              <w:left w:w="40" w:type="dxa"/>
              <w:bottom w:w="40" w:type="dxa"/>
              <w:right w:w="40" w:type="dxa"/>
            </w:tcMar>
            <w:vAlign w:val="bottom"/>
          </w:tcPr>
          <w:p w14:paraId="3750DA3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3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13,435</w:t>
            </w:r>
          </w:p>
        </w:tc>
        <w:tc>
          <w:tcPr>
            <w:tcW w:w="0" w:type="auto"/>
            <w:shd w:val="clear" w:color="auto" w:fill="auto"/>
            <w:vAlign w:val="bottom"/>
          </w:tcPr>
          <w:p w14:paraId="3750DA3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A3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3A"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10,636</w:t>
            </w:r>
          </w:p>
        </w:tc>
        <w:tc>
          <w:tcPr>
            <w:tcW w:w="0" w:type="auto"/>
            <w:shd w:val="clear" w:color="auto" w:fill="auto"/>
            <w:vAlign w:val="bottom"/>
          </w:tcPr>
          <w:p w14:paraId="3750DA3B" w14:textId="77777777" w:rsidR="002541AD" w:rsidRDefault="002541AD">
            <w:pPr>
              <w:textAlignment w:val="bottom"/>
              <w:rPr>
                <w:rFonts w:ascii="Times New Roman" w:hAnsi="Times New Roman"/>
                <w:sz w:val="20"/>
                <w:szCs w:val="20"/>
              </w:rPr>
            </w:pPr>
          </w:p>
        </w:tc>
      </w:tr>
      <w:tr w:rsidR="002541AD" w14:paraId="3750DA44" w14:textId="77777777">
        <w:tc>
          <w:tcPr>
            <w:tcW w:w="0" w:type="auto"/>
            <w:shd w:val="clear" w:color="auto" w:fill="auto"/>
            <w:tcMar>
              <w:top w:w="40" w:type="dxa"/>
              <w:left w:w="40" w:type="dxa"/>
              <w:bottom w:w="40" w:type="dxa"/>
              <w:right w:w="40" w:type="dxa"/>
            </w:tcMar>
          </w:tcPr>
          <w:p w14:paraId="3750DA3D"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Total current liabilities</w:t>
            </w:r>
          </w:p>
        </w:tc>
        <w:tc>
          <w:tcPr>
            <w:tcW w:w="0" w:type="auto"/>
            <w:shd w:val="clear" w:color="auto" w:fill="auto"/>
            <w:tcMar>
              <w:top w:w="40" w:type="dxa"/>
              <w:left w:w="40" w:type="dxa"/>
              <w:bottom w:w="40" w:type="dxa"/>
              <w:right w:w="40" w:type="dxa"/>
            </w:tcMar>
          </w:tcPr>
          <w:p w14:paraId="3750DA3E" w14:textId="77777777" w:rsidR="002541AD" w:rsidRDefault="002541AD">
            <w:pPr>
              <w:textAlignment w:val="top"/>
              <w:rPr>
                <w:rFonts w:ascii="Times New Roman" w:hAnsi="Times New Roman"/>
                <w:sz w:val="18"/>
                <w:szCs w:val="18"/>
              </w:rPr>
            </w:pP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DA3F"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23,895</w:t>
            </w:r>
          </w:p>
        </w:tc>
        <w:tc>
          <w:tcPr>
            <w:tcW w:w="0" w:type="auto"/>
            <w:tcBorders>
              <w:top w:val="single" w:sz="8" w:space="0" w:color="333333"/>
              <w:bottom w:val="single" w:sz="8" w:space="0" w:color="333333"/>
            </w:tcBorders>
            <w:shd w:val="clear" w:color="auto" w:fill="auto"/>
            <w:vAlign w:val="bottom"/>
          </w:tcPr>
          <w:p w14:paraId="3750DA4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A4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DA42"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22,310</w:t>
            </w:r>
          </w:p>
        </w:tc>
        <w:tc>
          <w:tcPr>
            <w:tcW w:w="0" w:type="auto"/>
            <w:tcBorders>
              <w:top w:val="single" w:sz="8" w:space="0" w:color="333333"/>
              <w:bottom w:val="single" w:sz="8" w:space="0" w:color="333333"/>
            </w:tcBorders>
            <w:shd w:val="clear" w:color="auto" w:fill="auto"/>
            <w:vAlign w:val="bottom"/>
          </w:tcPr>
          <w:p w14:paraId="3750DA43" w14:textId="77777777" w:rsidR="002541AD" w:rsidRDefault="002541AD">
            <w:pPr>
              <w:textAlignment w:val="bottom"/>
              <w:rPr>
                <w:rFonts w:ascii="Times New Roman" w:hAnsi="Times New Roman"/>
                <w:sz w:val="20"/>
                <w:szCs w:val="20"/>
              </w:rPr>
            </w:pPr>
          </w:p>
        </w:tc>
      </w:tr>
      <w:tr w:rsidR="002541AD" w14:paraId="3750DA4C" w14:textId="77777777">
        <w:tc>
          <w:tcPr>
            <w:tcW w:w="0" w:type="auto"/>
            <w:shd w:val="clear" w:color="auto" w:fill="auto"/>
            <w:tcMar>
              <w:top w:w="40" w:type="dxa"/>
              <w:left w:w="40" w:type="dxa"/>
              <w:bottom w:w="40" w:type="dxa"/>
              <w:right w:w="40" w:type="dxa"/>
            </w:tcMar>
          </w:tcPr>
          <w:p w14:paraId="3750DA45"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Debt</w:t>
            </w:r>
          </w:p>
        </w:tc>
        <w:tc>
          <w:tcPr>
            <w:tcW w:w="0" w:type="auto"/>
            <w:shd w:val="clear" w:color="auto" w:fill="auto"/>
            <w:tcMar>
              <w:top w:w="40" w:type="dxa"/>
              <w:left w:w="40" w:type="dxa"/>
              <w:bottom w:w="40" w:type="dxa"/>
              <w:right w:w="40" w:type="dxa"/>
            </w:tcMar>
            <w:vAlign w:val="bottom"/>
          </w:tcPr>
          <w:p w14:paraId="3750DA4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47"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36,455</w:t>
            </w:r>
          </w:p>
        </w:tc>
        <w:tc>
          <w:tcPr>
            <w:tcW w:w="0" w:type="auto"/>
            <w:shd w:val="clear" w:color="auto" w:fill="auto"/>
            <w:vAlign w:val="bottom"/>
          </w:tcPr>
          <w:p w14:paraId="3750DA4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A4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4A"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25,308</w:t>
            </w:r>
          </w:p>
        </w:tc>
        <w:tc>
          <w:tcPr>
            <w:tcW w:w="0" w:type="auto"/>
            <w:shd w:val="clear" w:color="auto" w:fill="auto"/>
            <w:vAlign w:val="bottom"/>
          </w:tcPr>
          <w:p w14:paraId="3750DA4B" w14:textId="77777777" w:rsidR="002541AD" w:rsidRDefault="002541AD">
            <w:pPr>
              <w:textAlignment w:val="bottom"/>
              <w:rPr>
                <w:rFonts w:ascii="Times New Roman" w:hAnsi="Times New Roman"/>
                <w:sz w:val="20"/>
                <w:szCs w:val="20"/>
              </w:rPr>
            </w:pPr>
          </w:p>
        </w:tc>
      </w:tr>
      <w:tr w:rsidR="002541AD" w14:paraId="3750DA54" w14:textId="77777777">
        <w:tc>
          <w:tcPr>
            <w:tcW w:w="0" w:type="auto"/>
            <w:shd w:val="clear" w:color="auto" w:fill="auto"/>
            <w:tcMar>
              <w:top w:w="40" w:type="dxa"/>
              <w:left w:w="40" w:type="dxa"/>
              <w:bottom w:w="40" w:type="dxa"/>
              <w:right w:w="40" w:type="dxa"/>
            </w:tcMar>
          </w:tcPr>
          <w:p w14:paraId="3750DA4D"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 xml:space="preserve">Contract liabilities </w:t>
            </w:r>
          </w:p>
        </w:tc>
        <w:tc>
          <w:tcPr>
            <w:tcW w:w="0" w:type="auto"/>
            <w:shd w:val="clear" w:color="auto" w:fill="auto"/>
            <w:tcMar>
              <w:top w:w="40" w:type="dxa"/>
              <w:left w:w="40" w:type="dxa"/>
              <w:bottom w:w="40" w:type="dxa"/>
              <w:right w:w="40" w:type="dxa"/>
            </w:tcMar>
            <w:vAlign w:val="bottom"/>
          </w:tcPr>
          <w:p w14:paraId="3750DA4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4F"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1,353</w:t>
            </w:r>
          </w:p>
        </w:tc>
        <w:tc>
          <w:tcPr>
            <w:tcW w:w="0" w:type="auto"/>
            <w:shd w:val="clear" w:color="auto" w:fill="auto"/>
            <w:vAlign w:val="bottom"/>
          </w:tcPr>
          <w:p w14:paraId="3750DA5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A5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52"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1,368</w:t>
            </w:r>
          </w:p>
        </w:tc>
        <w:tc>
          <w:tcPr>
            <w:tcW w:w="0" w:type="auto"/>
            <w:shd w:val="clear" w:color="auto" w:fill="auto"/>
            <w:vAlign w:val="bottom"/>
          </w:tcPr>
          <w:p w14:paraId="3750DA53" w14:textId="77777777" w:rsidR="002541AD" w:rsidRDefault="002541AD">
            <w:pPr>
              <w:textAlignment w:val="bottom"/>
              <w:rPr>
                <w:rFonts w:ascii="Times New Roman" w:hAnsi="Times New Roman"/>
                <w:sz w:val="20"/>
                <w:szCs w:val="20"/>
              </w:rPr>
            </w:pPr>
          </w:p>
        </w:tc>
      </w:tr>
      <w:tr w:rsidR="002541AD" w14:paraId="3750DA5C" w14:textId="77777777">
        <w:tc>
          <w:tcPr>
            <w:tcW w:w="0" w:type="auto"/>
            <w:shd w:val="clear" w:color="auto" w:fill="auto"/>
            <w:tcMar>
              <w:top w:w="40" w:type="dxa"/>
              <w:left w:w="40" w:type="dxa"/>
              <w:bottom w:w="40" w:type="dxa"/>
              <w:right w:w="40" w:type="dxa"/>
            </w:tcMar>
          </w:tcPr>
          <w:p w14:paraId="3750DA55"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 xml:space="preserve">Income taxes payable, </w:t>
            </w:r>
            <w:r>
              <w:rPr>
                <w:rFonts w:ascii="Arial" w:eastAsia="宋体" w:hAnsi="Arial" w:cs="Arial"/>
                <w:b/>
                <w:bCs/>
                <w:color w:val="333333"/>
                <w:sz w:val="18"/>
                <w:szCs w:val="18"/>
              </w:rPr>
              <w:t>non-current</w:t>
            </w:r>
          </w:p>
        </w:tc>
        <w:tc>
          <w:tcPr>
            <w:tcW w:w="0" w:type="auto"/>
            <w:shd w:val="clear" w:color="auto" w:fill="auto"/>
            <w:tcMar>
              <w:top w:w="40" w:type="dxa"/>
              <w:left w:w="40" w:type="dxa"/>
              <w:bottom w:w="40" w:type="dxa"/>
              <w:right w:w="40" w:type="dxa"/>
            </w:tcMar>
            <w:vAlign w:val="bottom"/>
          </w:tcPr>
          <w:p w14:paraId="3750DA5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57"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4,651</w:t>
            </w:r>
          </w:p>
        </w:tc>
        <w:tc>
          <w:tcPr>
            <w:tcW w:w="0" w:type="auto"/>
            <w:shd w:val="clear" w:color="auto" w:fill="auto"/>
            <w:vAlign w:val="bottom"/>
          </w:tcPr>
          <w:p w14:paraId="3750DA5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A5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5A"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4,919</w:t>
            </w:r>
          </w:p>
        </w:tc>
        <w:tc>
          <w:tcPr>
            <w:tcW w:w="0" w:type="auto"/>
            <w:shd w:val="clear" w:color="auto" w:fill="auto"/>
            <w:vAlign w:val="bottom"/>
          </w:tcPr>
          <w:p w14:paraId="3750DA5B" w14:textId="77777777" w:rsidR="002541AD" w:rsidRDefault="002541AD">
            <w:pPr>
              <w:textAlignment w:val="bottom"/>
              <w:rPr>
                <w:rFonts w:ascii="Times New Roman" w:hAnsi="Times New Roman"/>
                <w:sz w:val="20"/>
                <w:szCs w:val="20"/>
              </w:rPr>
            </w:pPr>
          </w:p>
        </w:tc>
      </w:tr>
      <w:tr w:rsidR="002541AD" w14:paraId="3750DA64" w14:textId="77777777">
        <w:tc>
          <w:tcPr>
            <w:tcW w:w="0" w:type="auto"/>
            <w:shd w:val="clear" w:color="auto" w:fill="auto"/>
            <w:tcMar>
              <w:top w:w="40" w:type="dxa"/>
              <w:left w:w="40" w:type="dxa"/>
              <w:bottom w:w="40" w:type="dxa"/>
              <w:right w:w="40" w:type="dxa"/>
            </w:tcMar>
          </w:tcPr>
          <w:p w14:paraId="3750DA5D"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Deferred income taxes</w:t>
            </w:r>
          </w:p>
        </w:tc>
        <w:tc>
          <w:tcPr>
            <w:tcW w:w="0" w:type="auto"/>
            <w:shd w:val="clear" w:color="auto" w:fill="auto"/>
            <w:tcMar>
              <w:top w:w="40" w:type="dxa"/>
              <w:left w:w="40" w:type="dxa"/>
              <w:bottom w:w="40" w:type="dxa"/>
              <w:right w:w="40" w:type="dxa"/>
            </w:tcMar>
            <w:vAlign w:val="bottom"/>
          </w:tcPr>
          <w:p w14:paraId="3750DA5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5F"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2,027</w:t>
            </w:r>
          </w:p>
        </w:tc>
        <w:tc>
          <w:tcPr>
            <w:tcW w:w="0" w:type="auto"/>
            <w:shd w:val="clear" w:color="auto" w:fill="auto"/>
            <w:vAlign w:val="bottom"/>
          </w:tcPr>
          <w:p w14:paraId="3750DA6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A6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62"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2,044</w:t>
            </w:r>
          </w:p>
        </w:tc>
        <w:tc>
          <w:tcPr>
            <w:tcW w:w="0" w:type="auto"/>
            <w:shd w:val="clear" w:color="auto" w:fill="auto"/>
            <w:vAlign w:val="bottom"/>
          </w:tcPr>
          <w:p w14:paraId="3750DA63" w14:textId="77777777" w:rsidR="002541AD" w:rsidRDefault="002541AD">
            <w:pPr>
              <w:textAlignment w:val="bottom"/>
              <w:rPr>
                <w:rFonts w:ascii="Times New Roman" w:hAnsi="Times New Roman"/>
                <w:sz w:val="20"/>
                <w:szCs w:val="20"/>
              </w:rPr>
            </w:pPr>
          </w:p>
        </w:tc>
      </w:tr>
      <w:tr w:rsidR="002541AD" w14:paraId="3750DA6C" w14:textId="77777777">
        <w:tc>
          <w:tcPr>
            <w:tcW w:w="0" w:type="auto"/>
            <w:shd w:val="clear" w:color="auto" w:fill="auto"/>
            <w:tcMar>
              <w:top w:w="40" w:type="dxa"/>
              <w:left w:w="40" w:type="dxa"/>
              <w:bottom w:w="40" w:type="dxa"/>
              <w:right w:w="40" w:type="dxa"/>
            </w:tcMar>
          </w:tcPr>
          <w:p w14:paraId="3750DA65"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Other long-term liabilities</w:t>
            </w:r>
          </w:p>
        </w:tc>
        <w:tc>
          <w:tcPr>
            <w:tcW w:w="0" w:type="auto"/>
            <w:shd w:val="clear" w:color="auto" w:fill="auto"/>
            <w:tcMar>
              <w:top w:w="40" w:type="dxa"/>
              <w:left w:w="40" w:type="dxa"/>
              <w:bottom w:w="40" w:type="dxa"/>
              <w:right w:w="40" w:type="dxa"/>
            </w:tcMar>
            <w:vAlign w:val="bottom"/>
          </w:tcPr>
          <w:p w14:paraId="3750DA6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67"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2,975</w:t>
            </w:r>
          </w:p>
        </w:tc>
        <w:tc>
          <w:tcPr>
            <w:tcW w:w="0" w:type="auto"/>
            <w:shd w:val="clear" w:color="auto" w:fill="auto"/>
            <w:vAlign w:val="bottom"/>
          </w:tcPr>
          <w:p w14:paraId="3750DA6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A6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6A"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2,916</w:t>
            </w:r>
          </w:p>
        </w:tc>
        <w:tc>
          <w:tcPr>
            <w:tcW w:w="0" w:type="auto"/>
            <w:shd w:val="clear" w:color="auto" w:fill="auto"/>
            <w:vAlign w:val="bottom"/>
          </w:tcPr>
          <w:p w14:paraId="3750DA6B" w14:textId="77777777" w:rsidR="002541AD" w:rsidRDefault="002541AD">
            <w:pPr>
              <w:textAlignment w:val="bottom"/>
              <w:rPr>
                <w:rFonts w:ascii="Times New Roman" w:hAnsi="Times New Roman"/>
                <w:sz w:val="20"/>
                <w:szCs w:val="20"/>
              </w:rPr>
            </w:pPr>
          </w:p>
        </w:tc>
      </w:tr>
      <w:tr w:rsidR="002541AD" w14:paraId="3750DA72" w14:textId="77777777">
        <w:tc>
          <w:tcPr>
            <w:tcW w:w="0" w:type="auto"/>
            <w:shd w:val="clear" w:color="auto" w:fill="auto"/>
            <w:tcMar>
              <w:top w:w="40" w:type="dxa"/>
              <w:left w:w="40" w:type="dxa"/>
              <w:bottom w:w="40" w:type="dxa"/>
              <w:right w:w="40" w:type="dxa"/>
            </w:tcMar>
          </w:tcPr>
          <w:p w14:paraId="3750DA6D"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Contingencies (Note 12)</w:t>
            </w:r>
          </w:p>
        </w:tc>
        <w:tc>
          <w:tcPr>
            <w:tcW w:w="0" w:type="auto"/>
            <w:shd w:val="clear" w:color="auto" w:fill="auto"/>
            <w:tcMar>
              <w:top w:w="40" w:type="dxa"/>
              <w:left w:w="40" w:type="dxa"/>
              <w:bottom w:w="40" w:type="dxa"/>
              <w:right w:w="40" w:type="dxa"/>
            </w:tcMar>
            <w:vAlign w:val="bottom"/>
          </w:tcPr>
          <w:p w14:paraId="3750DA6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A6F" w14:textId="77777777" w:rsidR="002541AD" w:rsidRDefault="002541AD">
            <w:pPr>
              <w:textAlignment w:val="bottom"/>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3750DA7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A71" w14:textId="77777777" w:rsidR="002541AD" w:rsidRDefault="002541AD">
            <w:pPr>
              <w:textAlignment w:val="bottom"/>
              <w:rPr>
                <w:rFonts w:ascii="Times New Roman" w:hAnsi="Times New Roman"/>
                <w:sz w:val="18"/>
                <w:szCs w:val="18"/>
              </w:rPr>
            </w:pPr>
          </w:p>
        </w:tc>
      </w:tr>
      <w:tr w:rsidR="002541AD" w14:paraId="3750DA7A" w14:textId="77777777">
        <w:tc>
          <w:tcPr>
            <w:tcW w:w="0" w:type="auto"/>
            <w:shd w:val="clear" w:color="auto" w:fill="auto"/>
            <w:tcMar>
              <w:top w:w="40" w:type="dxa"/>
              <w:left w:w="40" w:type="dxa"/>
              <w:bottom w:w="40" w:type="dxa"/>
              <w:right w:w="40" w:type="dxa"/>
            </w:tcMar>
          </w:tcPr>
          <w:p w14:paraId="3750DA73"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Temporary equity</w:t>
            </w:r>
          </w:p>
        </w:tc>
        <w:tc>
          <w:tcPr>
            <w:tcW w:w="0" w:type="auto"/>
            <w:shd w:val="clear" w:color="auto" w:fill="auto"/>
            <w:tcMar>
              <w:top w:w="40" w:type="dxa"/>
              <w:left w:w="40" w:type="dxa"/>
              <w:bottom w:w="40" w:type="dxa"/>
              <w:right w:w="40" w:type="dxa"/>
            </w:tcMar>
            <w:vAlign w:val="bottom"/>
          </w:tcPr>
          <w:p w14:paraId="3750DA7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75"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vAlign w:val="bottom"/>
          </w:tcPr>
          <w:p w14:paraId="3750DA7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A7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78"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155</w:t>
            </w:r>
          </w:p>
        </w:tc>
        <w:tc>
          <w:tcPr>
            <w:tcW w:w="0" w:type="auto"/>
            <w:shd w:val="clear" w:color="auto" w:fill="auto"/>
            <w:vAlign w:val="bottom"/>
          </w:tcPr>
          <w:p w14:paraId="3750DA79" w14:textId="77777777" w:rsidR="002541AD" w:rsidRDefault="002541AD">
            <w:pPr>
              <w:textAlignment w:val="bottom"/>
              <w:rPr>
                <w:rFonts w:ascii="Times New Roman" w:hAnsi="Times New Roman"/>
                <w:sz w:val="20"/>
                <w:szCs w:val="20"/>
              </w:rPr>
            </w:pPr>
          </w:p>
        </w:tc>
      </w:tr>
      <w:tr w:rsidR="002541AD" w14:paraId="3750DA80" w14:textId="77777777">
        <w:tc>
          <w:tcPr>
            <w:tcW w:w="0" w:type="auto"/>
            <w:shd w:val="clear" w:color="auto" w:fill="auto"/>
            <w:tcMar>
              <w:top w:w="40" w:type="dxa"/>
              <w:left w:w="40" w:type="dxa"/>
              <w:bottom w:w="40" w:type="dxa"/>
              <w:right w:w="40" w:type="dxa"/>
            </w:tcMar>
          </w:tcPr>
          <w:p w14:paraId="3750DA7B"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Stockholders’ equity:</w:t>
            </w:r>
          </w:p>
        </w:tc>
        <w:tc>
          <w:tcPr>
            <w:tcW w:w="0" w:type="auto"/>
            <w:shd w:val="clear" w:color="auto" w:fill="auto"/>
            <w:tcMar>
              <w:top w:w="40" w:type="dxa"/>
              <w:left w:w="40" w:type="dxa"/>
              <w:bottom w:w="40" w:type="dxa"/>
              <w:right w:w="40" w:type="dxa"/>
            </w:tcMar>
            <w:vAlign w:val="bottom"/>
          </w:tcPr>
          <w:p w14:paraId="3750DA7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A7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A7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A7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A88" w14:textId="77777777">
        <w:tc>
          <w:tcPr>
            <w:tcW w:w="0" w:type="auto"/>
            <w:shd w:val="clear" w:color="auto" w:fill="auto"/>
            <w:tcMar>
              <w:top w:w="40" w:type="dxa"/>
              <w:left w:w="240" w:type="dxa"/>
              <w:bottom w:w="40" w:type="dxa"/>
              <w:right w:w="40" w:type="dxa"/>
            </w:tcMar>
          </w:tcPr>
          <w:p w14:paraId="3750DA81"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Preferred stock</w:t>
            </w:r>
          </w:p>
        </w:tc>
        <w:tc>
          <w:tcPr>
            <w:tcW w:w="0" w:type="auto"/>
            <w:shd w:val="clear" w:color="auto" w:fill="auto"/>
            <w:tcMar>
              <w:top w:w="40" w:type="dxa"/>
              <w:left w:w="40" w:type="dxa"/>
              <w:bottom w:w="40" w:type="dxa"/>
              <w:right w:w="40" w:type="dxa"/>
            </w:tcMar>
            <w:vAlign w:val="bottom"/>
          </w:tcPr>
          <w:p w14:paraId="3750DA8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8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A8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A8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8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A87" w14:textId="77777777" w:rsidR="002541AD" w:rsidRDefault="002541AD">
            <w:pPr>
              <w:textAlignment w:val="bottom"/>
              <w:rPr>
                <w:rFonts w:ascii="Times New Roman" w:hAnsi="Times New Roman"/>
                <w:sz w:val="20"/>
                <w:szCs w:val="20"/>
              </w:rPr>
            </w:pPr>
          </w:p>
        </w:tc>
      </w:tr>
      <w:tr w:rsidR="002541AD" w14:paraId="3750DA90" w14:textId="77777777">
        <w:tc>
          <w:tcPr>
            <w:tcW w:w="0" w:type="auto"/>
            <w:shd w:val="clear" w:color="auto" w:fill="auto"/>
            <w:tcMar>
              <w:top w:w="40" w:type="dxa"/>
              <w:left w:w="240" w:type="dxa"/>
              <w:bottom w:w="40" w:type="dxa"/>
              <w:right w:w="40" w:type="dxa"/>
            </w:tcMar>
          </w:tcPr>
          <w:p w14:paraId="3750DA89"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 xml:space="preserve">Common stock </w:t>
            </w:r>
            <w:r>
              <w:rPr>
                <w:rFonts w:ascii="Arial" w:eastAsia="宋体" w:hAnsi="Arial" w:cs="Arial"/>
                <w:color w:val="333333"/>
                <w:sz w:val="18"/>
                <w:szCs w:val="18"/>
              </w:rPr>
              <w:t>and capital in excess of par value, 4,234 issued and outstanding (4,290 issued and outstanding as of December 28, 2019)</w:t>
            </w:r>
          </w:p>
        </w:tc>
        <w:tc>
          <w:tcPr>
            <w:tcW w:w="0" w:type="auto"/>
            <w:shd w:val="clear" w:color="auto" w:fill="auto"/>
            <w:tcMar>
              <w:top w:w="40" w:type="dxa"/>
              <w:left w:w="40" w:type="dxa"/>
              <w:bottom w:w="40" w:type="dxa"/>
              <w:right w:w="40" w:type="dxa"/>
            </w:tcMar>
            <w:vAlign w:val="bottom"/>
          </w:tcPr>
          <w:p w14:paraId="3750DA8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8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25,251</w:t>
            </w:r>
          </w:p>
        </w:tc>
        <w:tc>
          <w:tcPr>
            <w:tcW w:w="0" w:type="auto"/>
            <w:shd w:val="clear" w:color="auto" w:fill="auto"/>
            <w:vAlign w:val="bottom"/>
          </w:tcPr>
          <w:p w14:paraId="3750DA8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A8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8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25,261</w:t>
            </w:r>
          </w:p>
        </w:tc>
        <w:tc>
          <w:tcPr>
            <w:tcW w:w="0" w:type="auto"/>
            <w:shd w:val="clear" w:color="auto" w:fill="auto"/>
            <w:vAlign w:val="bottom"/>
          </w:tcPr>
          <w:p w14:paraId="3750DA8F" w14:textId="77777777" w:rsidR="002541AD" w:rsidRDefault="002541AD">
            <w:pPr>
              <w:textAlignment w:val="bottom"/>
              <w:rPr>
                <w:rFonts w:ascii="Times New Roman" w:hAnsi="Times New Roman"/>
                <w:sz w:val="20"/>
                <w:szCs w:val="20"/>
              </w:rPr>
            </w:pPr>
          </w:p>
        </w:tc>
      </w:tr>
      <w:tr w:rsidR="002541AD" w14:paraId="3750DA98" w14:textId="77777777">
        <w:tc>
          <w:tcPr>
            <w:tcW w:w="0" w:type="auto"/>
            <w:shd w:val="clear" w:color="auto" w:fill="auto"/>
            <w:tcMar>
              <w:top w:w="40" w:type="dxa"/>
              <w:left w:w="240" w:type="dxa"/>
              <w:bottom w:w="40" w:type="dxa"/>
              <w:right w:w="40" w:type="dxa"/>
            </w:tcMar>
          </w:tcPr>
          <w:p w14:paraId="3750DA91"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Accumulated other comprehensive income (loss)</w:t>
            </w:r>
          </w:p>
        </w:tc>
        <w:tc>
          <w:tcPr>
            <w:tcW w:w="0" w:type="auto"/>
            <w:shd w:val="clear" w:color="auto" w:fill="auto"/>
            <w:tcMar>
              <w:top w:w="40" w:type="dxa"/>
              <w:left w:w="40" w:type="dxa"/>
              <w:bottom w:w="40" w:type="dxa"/>
              <w:right w:w="40" w:type="dxa"/>
            </w:tcMar>
            <w:vAlign w:val="bottom"/>
          </w:tcPr>
          <w:p w14:paraId="3750DA9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9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(1,541</w:t>
            </w:r>
          </w:p>
        </w:tc>
        <w:tc>
          <w:tcPr>
            <w:tcW w:w="0" w:type="auto"/>
            <w:shd w:val="clear" w:color="auto" w:fill="auto"/>
            <w:tcMar>
              <w:top w:w="40" w:type="dxa"/>
              <w:bottom w:w="40" w:type="dxa"/>
              <w:right w:w="40" w:type="dxa"/>
            </w:tcMar>
            <w:vAlign w:val="bottom"/>
          </w:tcPr>
          <w:p w14:paraId="3750DA94"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A9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9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(1,280</w:t>
            </w:r>
          </w:p>
        </w:tc>
        <w:tc>
          <w:tcPr>
            <w:tcW w:w="0" w:type="auto"/>
            <w:shd w:val="clear" w:color="auto" w:fill="auto"/>
            <w:tcMar>
              <w:top w:w="40" w:type="dxa"/>
              <w:bottom w:w="40" w:type="dxa"/>
              <w:right w:w="40" w:type="dxa"/>
            </w:tcMar>
            <w:vAlign w:val="bottom"/>
          </w:tcPr>
          <w:p w14:paraId="3750DA97"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DAA0" w14:textId="77777777">
        <w:tc>
          <w:tcPr>
            <w:tcW w:w="0" w:type="auto"/>
            <w:shd w:val="clear" w:color="auto" w:fill="auto"/>
            <w:tcMar>
              <w:top w:w="40" w:type="dxa"/>
              <w:left w:w="240" w:type="dxa"/>
              <w:bottom w:w="40" w:type="dxa"/>
              <w:right w:w="40" w:type="dxa"/>
            </w:tcMar>
          </w:tcPr>
          <w:p w14:paraId="3750DA99"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Retained earnings</w:t>
            </w:r>
          </w:p>
        </w:tc>
        <w:tc>
          <w:tcPr>
            <w:tcW w:w="0" w:type="auto"/>
            <w:shd w:val="clear" w:color="auto" w:fill="auto"/>
            <w:tcMar>
              <w:top w:w="40" w:type="dxa"/>
              <w:left w:w="40" w:type="dxa"/>
              <w:bottom w:w="40" w:type="dxa"/>
              <w:right w:w="40" w:type="dxa"/>
            </w:tcMar>
            <w:vAlign w:val="bottom"/>
          </w:tcPr>
          <w:p w14:paraId="3750DA9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9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52,644</w:t>
            </w:r>
          </w:p>
        </w:tc>
        <w:tc>
          <w:tcPr>
            <w:tcW w:w="0" w:type="auto"/>
            <w:shd w:val="clear" w:color="auto" w:fill="auto"/>
            <w:vAlign w:val="bottom"/>
          </w:tcPr>
          <w:p w14:paraId="3750DA9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A9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9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53,523</w:t>
            </w:r>
          </w:p>
        </w:tc>
        <w:tc>
          <w:tcPr>
            <w:tcW w:w="0" w:type="auto"/>
            <w:shd w:val="clear" w:color="auto" w:fill="auto"/>
            <w:vAlign w:val="bottom"/>
          </w:tcPr>
          <w:p w14:paraId="3750DA9F" w14:textId="77777777" w:rsidR="002541AD" w:rsidRDefault="002541AD">
            <w:pPr>
              <w:textAlignment w:val="bottom"/>
              <w:rPr>
                <w:rFonts w:ascii="Times New Roman" w:hAnsi="Times New Roman"/>
                <w:sz w:val="20"/>
                <w:szCs w:val="20"/>
              </w:rPr>
            </w:pPr>
          </w:p>
        </w:tc>
      </w:tr>
      <w:tr w:rsidR="002541AD" w14:paraId="3750DAA8" w14:textId="77777777">
        <w:tc>
          <w:tcPr>
            <w:tcW w:w="0" w:type="auto"/>
            <w:shd w:val="clear" w:color="auto" w:fill="auto"/>
            <w:tcMar>
              <w:top w:w="40" w:type="dxa"/>
              <w:left w:w="40" w:type="dxa"/>
              <w:bottom w:w="40" w:type="dxa"/>
              <w:right w:w="40" w:type="dxa"/>
            </w:tcMar>
          </w:tcPr>
          <w:p w14:paraId="3750DAA1"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Total stockholders’ equity</w:t>
            </w:r>
          </w:p>
        </w:tc>
        <w:tc>
          <w:tcPr>
            <w:tcW w:w="0" w:type="auto"/>
            <w:shd w:val="clear" w:color="auto" w:fill="auto"/>
            <w:tcMar>
              <w:top w:w="40" w:type="dxa"/>
              <w:left w:w="40" w:type="dxa"/>
              <w:bottom w:w="40" w:type="dxa"/>
              <w:right w:w="40" w:type="dxa"/>
            </w:tcMar>
            <w:vAlign w:val="bottom"/>
          </w:tcPr>
          <w:p w14:paraId="3750DAA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DAA3"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76,354</w:t>
            </w:r>
          </w:p>
        </w:tc>
        <w:tc>
          <w:tcPr>
            <w:tcW w:w="0" w:type="auto"/>
            <w:tcBorders>
              <w:top w:val="single" w:sz="8" w:space="0" w:color="333333"/>
              <w:bottom w:val="single" w:sz="8" w:space="0" w:color="333333"/>
            </w:tcBorders>
            <w:shd w:val="clear" w:color="auto" w:fill="auto"/>
            <w:vAlign w:val="bottom"/>
          </w:tcPr>
          <w:p w14:paraId="3750DAA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AA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DAA6"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77,504</w:t>
            </w:r>
          </w:p>
        </w:tc>
        <w:tc>
          <w:tcPr>
            <w:tcW w:w="0" w:type="auto"/>
            <w:tcBorders>
              <w:top w:val="single" w:sz="8" w:space="0" w:color="333333"/>
              <w:bottom w:val="single" w:sz="8" w:space="0" w:color="333333"/>
            </w:tcBorders>
            <w:shd w:val="clear" w:color="auto" w:fill="auto"/>
            <w:vAlign w:val="bottom"/>
          </w:tcPr>
          <w:p w14:paraId="3750DAA7" w14:textId="77777777" w:rsidR="002541AD" w:rsidRDefault="002541AD">
            <w:pPr>
              <w:textAlignment w:val="bottom"/>
              <w:rPr>
                <w:rFonts w:ascii="Times New Roman" w:hAnsi="Times New Roman"/>
                <w:sz w:val="20"/>
                <w:szCs w:val="20"/>
              </w:rPr>
            </w:pPr>
          </w:p>
        </w:tc>
      </w:tr>
      <w:tr w:rsidR="002541AD" w14:paraId="3750DAB2" w14:textId="77777777">
        <w:tc>
          <w:tcPr>
            <w:tcW w:w="0" w:type="auto"/>
            <w:shd w:val="clear" w:color="auto" w:fill="auto"/>
            <w:tcMar>
              <w:top w:w="40" w:type="dxa"/>
              <w:left w:w="40" w:type="dxa"/>
              <w:bottom w:w="40" w:type="dxa"/>
              <w:right w:w="40" w:type="dxa"/>
            </w:tcMar>
          </w:tcPr>
          <w:p w14:paraId="3750DAA9"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Total liabilities, temporary equity, and stockholders’ equity</w:t>
            </w:r>
          </w:p>
        </w:tc>
        <w:tc>
          <w:tcPr>
            <w:tcW w:w="0" w:type="auto"/>
            <w:shd w:val="clear" w:color="auto" w:fill="auto"/>
            <w:tcMar>
              <w:top w:w="40" w:type="dxa"/>
              <w:left w:w="40" w:type="dxa"/>
              <w:bottom w:w="40" w:type="dxa"/>
              <w:right w:w="40" w:type="dxa"/>
            </w:tcMar>
            <w:vAlign w:val="bottom"/>
          </w:tcPr>
          <w:p w14:paraId="3750DAA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3750DAAB"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3750DAAC"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147,710</w:t>
            </w:r>
          </w:p>
        </w:tc>
        <w:tc>
          <w:tcPr>
            <w:tcW w:w="0" w:type="auto"/>
            <w:tcBorders>
              <w:bottom w:val="double" w:sz="6" w:space="0" w:color="333333"/>
            </w:tcBorders>
            <w:shd w:val="clear" w:color="auto" w:fill="auto"/>
            <w:vAlign w:val="bottom"/>
          </w:tcPr>
          <w:p w14:paraId="3750DAA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AA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3750DAAF"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3750DAB0"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136,524</w:t>
            </w:r>
          </w:p>
        </w:tc>
        <w:tc>
          <w:tcPr>
            <w:tcW w:w="0" w:type="auto"/>
            <w:tcBorders>
              <w:bottom w:val="double" w:sz="6" w:space="0" w:color="333333"/>
            </w:tcBorders>
            <w:shd w:val="clear" w:color="auto" w:fill="auto"/>
            <w:vAlign w:val="bottom"/>
          </w:tcPr>
          <w:p w14:paraId="3750DAB1" w14:textId="77777777" w:rsidR="002541AD" w:rsidRDefault="002541AD">
            <w:pPr>
              <w:textAlignment w:val="bottom"/>
              <w:rPr>
                <w:rFonts w:ascii="Times New Roman" w:hAnsi="Times New Roman"/>
                <w:sz w:val="20"/>
                <w:szCs w:val="20"/>
              </w:rPr>
            </w:pPr>
          </w:p>
        </w:tc>
      </w:tr>
    </w:tbl>
    <w:p w14:paraId="3750DAB3" w14:textId="77777777" w:rsidR="002541AD" w:rsidRDefault="00901AA6">
      <w:pPr>
        <w:spacing w:line="288" w:lineRule="auto"/>
        <w:rPr>
          <w:rFonts w:ascii="Times New Roman" w:hAnsi="Times New Roman"/>
          <w:sz w:val="16"/>
          <w:szCs w:val="16"/>
        </w:rPr>
      </w:pPr>
      <w:r>
        <w:rPr>
          <w:rFonts w:ascii="Arial" w:eastAsia="宋体" w:hAnsi="Arial" w:cs="Arial"/>
          <w:i/>
          <w:iCs/>
          <w:color w:val="333333"/>
          <w:sz w:val="16"/>
          <w:szCs w:val="16"/>
        </w:rPr>
        <w:t>See accompanying notes.</w:t>
      </w:r>
    </w:p>
    <w:p w14:paraId="3750DAB4"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DAB6" w14:textId="77777777">
        <w:tc>
          <w:tcPr>
            <w:tcW w:w="0" w:type="auto"/>
            <w:gridSpan w:val="3"/>
            <w:shd w:val="clear" w:color="auto" w:fill="auto"/>
            <w:vAlign w:val="center"/>
          </w:tcPr>
          <w:p w14:paraId="3750DAB5" w14:textId="77777777" w:rsidR="002541AD" w:rsidRDefault="002541AD">
            <w:pPr>
              <w:rPr>
                <w:rFonts w:ascii="Times New Roman" w:hAnsi="Times New Roman"/>
                <w:sz w:val="20"/>
                <w:szCs w:val="20"/>
              </w:rPr>
            </w:pPr>
          </w:p>
        </w:tc>
      </w:tr>
      <w:tr w:rsidR="002541AD" w14:paraId="3750DABA" w14:textId="77777777">
        <w:tc>
          <w:tcPr>
            <w:tcW w:w="1550" w:type="pct"/>
            <w:shd w:val="clear" w:color="auto" w:fill="auto"/>
            <w:vAlign w:val="center"/>
          </w:tcPr>
          <w:p w14:paraId="3750DAB7" w14:textId="77777777" w:rsidR="002541AD" w:rsidRDefault="002541AD">
            <w:pPr>
              <w:rPr>
                <w:rFonts w:ascii="Times New Roman" w:hAnsi="Times New Roman"/>
                <w:sz w:val="20"/>
                <w:szCs w:val="20"/>
              </w:rPr>
            </w:pPr>
          </w:p>
        </w:tc>
        <w:tc>
          <w:tcPr>
            <w:tcW w:w="2200" w:type="pct"/>
            <w:shd w:val="clear" w:color="auto" w:fill="auto"/>
            <w:vAlign w:val="center"/>
          </w:tcPr>
          <w:p w14:paraId="3750DAB8" w14:textId="77777777" w:rsidR="002541AD" w:rsidRDefault="002541AD">
            <w:pPr>
              <w:rPr>
                <w:rFonts w:ascii="Times New Roman" w:hAnsi="Times New Roman"/>
                <w:sz w:val="20"/>
                <w:szCs w:val="20"/>
              </w:rPr>
            </w:pPr>
          </w:p>
        </w:tc>
        <w:tc>
          <w:tcPr>
            <w:tcW w:w="1250" w:type="pct"/>
            <w:shd w:val="clear" w:color="auto" w:fill="auto"/>
            <w:vAlign w:val="center"/>
          </w:tcPr>
          <w:p w14:paraId="3750DAB9" w14:textId="77777777" w:rsidR="002541AD" w:rsidRDefault="002541AD">
            <w:pPr>
              <w:rPr>
                <w:rFonts w:ascii="Times New Roman" w:hAnsi="Times New Roman"/>
                <w:sz w:val="20"/>
                <w:szCs w:val="20"/>
              </w:rPr>
            </w:pPr>
          </w:p>
        </w:tc>
      </w:tr>
      <w:tr w:rsidR="002541AD" w14:paraId="3750DABE" w14:textId="77777777">
        <w:tc>
          <w:tcPr>
            <w:tcW w:w="0" w:type="auto"/>
            <w:tcBorders>
              <w:top w:val="single" w:sz="8" w:space="0" w:color="0071C5"/>
              <w:right w:val="single" w:sz="24" w:space="0" w:color="0071C5"/>
            </w:tcBorders>
            <w:shd w:val="clear" w:color="auto" w:fill="auto"/>
            <w:tcMar>
              <w:top w:w="40" w:type="dxa"/>
              <w:left w:w="40" w:type="dxa"/>
              <w:bottom w:w="40" w:type="dxa"/>
              <w:right w:w="40" w:type="dxa"/>
            </w:tcMar>
            <w:vAlign w:val="center"/>
          </w:tcPr>
          <w:p w14:paraId="3750DABB"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56" wp14:editId="3750F857">
                  <wp:extent cx="304800" cy="304800"/>
                  <wp:effectExtent l="0" t="0" r="0" b="0"/>
                  <wp:docPr id="63" name="图片 55"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5"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ABC"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Consolidated Condensed Balance Sheets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ABD"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8</w:t>
            </w:r>
          </w:p>
        </w:tc>
      </w:tr>
    </w:tbl>
    <w:p w14:paraId="3750DABF" w14:textId="77777777" w:rsidR="002541AD" w:rsidRDefault="002541AD">
      <w:pPr>
        <w:spacing w:line="288" w:lineRule="auto"/>
        <w:rPr>
          <w:rFonts w:ascii="Times New Roman" w:hAnsi="Times New Roman"/>
          <w:sz w:val="18"/>
          <w:szCs w:val="18"/>
        </w:rPr>
      </w:pPr>
    </w:p>
    <w:p w14:paraId="3750DAC0" w14:textId="77777777" w:rsidR="002541AD" w:rsidRDefault="00901AA6">
      <w:r>
        <w:rPr>
          <w:rFonts w:ascii="Times New Roman" w:hAnsi="Times New Roman"/>
          <w:sz w:val="18"/>
          <w:szCs w:val="18"/>
        </w:rPr>
        <w:pict w14:anchorId="3750F858">
          <v:rect id="_x0000_i1034" style="width:415.3pt;height:1.5pt" o:hralign="center" o:hrstd="t" o:hr="t" fillcolor="#a0a0a0" stroked="f"/>
        </w:pict>
      </w:r>
    </w:p>
    <w:p w14:paraId="3750DAC1" w14:textId="77777777" w:rsidR="002541AD" w:rsidRDefault="00901AA6">
      <w:pPr>
        <w:spacing w:line="288" w:lineRule="auto"/>
        <w:jc w:val="right"/>
        <w:rPr>
          <w:rFonts w:ascii="Times New Roman" w:hAnsi="Times New Roman"/>
          <w:sz w:val="16"/>
          <w:szCs w:val="16"/>
        </w:rPr>
      </w:pPr>
      <w:hyperlink r:id="rId37" w:anchor="s2CABEAF4222C52B4A34547BF538A8C27" w:history="1">
        <w:r>
          <w:rPr>
            <w:rStyle w:val="a5"/>
            <w:rFonts w:ascii="Arial" w:eastAsia="宋体" w:hAnsi="Arial" w:cs="Arial"/>
            <w:b/>
            <w:bCs/>
            <w:sz w:val="16"/>
            <w:szCs w:val="16"/>
          </w:rPr>
          <w:t>Table of Contents</w:t>
        </w:r>
      </w:hyperlink>
    </w:p>
    <w:p w14:paraId="3750DAC2" w14:textId="77777777" w:rsidR="002541AD" w:rsidRDefault="002541AD">
      <w:pPr>
        <w:spacing w:line="288" w:lineRule="auto"/>
        <w:jc w:val="right"/>
        <w:rPr>
          <w:rFonts w:ascii="Times New Roman" w:hAnsi="Times New Roman"/>
          <w:sz w:val="18"/>
          <w:szCs w:val="18"/>
        </w:rPr>
      </w:pPr>
    </w:p>
    <w:p w14:paraId="3750DAC3" w14:textId="77777777" w:rsidR="002541AD" w:rsidRDefault="002541AD">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2541AD" w14:paraId="3750DAC5" w14:textId="77777777">
        <w:trPr>
          <w:jc w:val="center"/>
        </w:trPr>
        <w:tc>
          <w:tcPr>
            <w:tcW w:w="0" w:type="auto"/>
            <w:shd w:val="clear" w:color="auto" w:fill="auto"/>
            <w:vAlign w:val="center"/>
          </w:tcPr>
          <w:p w14:paraId="3750DAC4" w14:textId="77777777" w:rsidR="002541AD" w:rsidRDefault="002541AD">
            <w:pPr>
              <w:rPr>
                <w:rFonts w:ascii="Times New Roman" w:hAnsi="Times New Roman"/>
                <w:sz w:val="20"/>
                <w:szCs w:val="20"/>
              </w:rPr>
            </w:pPr>
          </w:p>
        </w:tc>
      </w:tr>
      <w:tr w:rsidR="002541AD" w14:paraId="3750DAC7" w14:textId="77777777">
        <w:trPr>
          <w:jc w:val="center"/>
        </w:trPr>
        <w:tc>
          <w:tcPr>
            <w:tcW w:w="5000" w:type="pct"/>
            <w:shd w:val="clear" w:color="auto" w:fill="auto"/>
            <w:vAlign w:val="center"/>
          </w:tcPr>
          <w:p w14:paraId="3750DAC6" w14:textId="77777777" w:rsidR="002541AD" w:rsidRDefault="002541AD">
            <w:pPr>
              <w:rPr>
                <w:rFonts w:ascii="Times New Roman" w:hAnsi="Times New Roman"/>
                <w:sz w:val="20"/>
                <w:szCs w:val="20"/>
              </w:rPr>
            </w:pPr>
          </w:p>
        </w:tc>
      </w:tr>
      <w:tr w:rsidR="002541AD" w14:paraId="3750DAC9" w14:textId="77777777">
        <w:trPr>
          <w:jc w:val="center"/>
        </w:trPr>
        <w:tc>
          <w:tcPr>
            <w:tcW w:w="0" w:type="auto"/>
            <w:shd w:val="clear" w:color="auto" w:fill="0071C5"/>
            <w:tcMar>
              <w:top w:w="40" w:type="dxa"/>
              <w:left w:w="40" w:type="dxa"/>
              <w:bottom w:w="40" w:type="dxa"/>
              <w:right w:w="40" w:type="dxa"/>
            </w:tcMar>
            <w:vAlign w:val="bottom"/>
          </w:tcPr>
          <w:p w14:paraId="3750DAC8"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rPr>
              <w:t>CONSOLIDATED CONDENSED STATEMENTS OF CASH FLOWS</w:t>
            </w:r>
          </w:p>
        </w:tc>
      </w:tr>
    </w:tbl>
    <w:p w14:paraId="3750DACA" w14:textId="77777777" w:rsidR="002541AD" w:rsidRDefault="002541AD">
      <w:pPr>
        <w:rPr>
          <w:vanish/>
        </w:rPr>
      </w:pPr>
    </w:p>
    <w:tbl>
      <w:tblPr>
        <w:tblW w:w="5000" w:type="pct"/>
        <w:jc w:val="center"/>
        <w:tblCellMar>
          <w:left w:w="0" w:type="dxa"/>
          <w:right w:w="0" w:type="dxa"/>
        </w:tblCellMar>
        <w:tblLook w:val="04A0" w:firstRow="1" w:lastRow="0" w:firstColumn="1" w:lastColumn="0" w:noHBand="0" w:noVBand="1"/>
      </w:tblPr>
      <w:tblGrid>
        <w:gridCol w:w="6064"/>
        <w:gridCol w:w="130"/>
        <w:gridCol w:w="141"/>
        <w:gridCol w:w="749"/>
        <w:gridCol w:w="100"/>
        <w:gridCol w:w="130"/>
        <w:gridCol w:w="142"/>
        <w:gridCol w:w="749"/>
        <w:gridCol w:w="101"/>
      </w:tblGrid>
      <w:tr w:rsidR="002541AD" w14:paraId="3750DACC" w14:textId="77777777">
        <w:trPr>
          <w:jc w:val="center"/>
        </w:trPr>
        <w:tc>
          <w:tcPr>
            <w:tcW w:w="0" w:type="auto"/>
            <w:gridSpan w:val="9"/>
            <w:shd w:val="clear" w:color="auto" w:fill="auto"/>
            <w:vAlign w:val="center"/>
          </w:tcPr>
          <w:p w14:paraId="3750DACB" w14:textId="77777777" w:rsidR="002541AD" w:rsidRDefault="002541AD">
            <w:pPr>
              <w:rPr>
                <w:rFonts w:ascii="Times New Roman" w:hAnsi="Times New Roman"/>
                <w:sz w:val="20"/>
                <w:szCs w:val="20"/>
              </w:rPr>
            </w:pPr>
          </w:p>
        </w:tc>
      </w:tr>
      <w:tr w:rsidR="002541AD" w14:paraId="3750DAD6" w14:textId="77777777">
        <w:trPr>
          <w:jc w:val="center"/>
        </w:trPr>
        <w:tc>
          <w:tcPr>
            <w:tcW w:w="3700" w:type="pct"/>
            <w:shd w:val="clear" w:color="auto" w:fill="auto"/>
            <w:vAlign w:val="center"/>
          </w:tcPr>
          <w:p w14:paraId="3750DACD" w14:textId="77777777" w:rsidR="002541AD" w:rsidRDefault="002541AD">
            <w:pPr>
              <w:rPr>
                <w:rFonts w:ascii="Times New Roman" w:hAnsi="Times New Roman"/>
                <w:sz w:val="20"/>
                <w:szCs w:val="20"/>
              </w:rPr>
            </w:pPr>
          </w:p>
        </w:tc>
        <w:tc>
          <w:tcPr>
            <w:tcW w:w="50" w:type="pct"/>
            <w:shd w:val="clear" w:color="auto" w:fill="auto"/>
            <w:vAlign w:val="center"/>
          </w:tcPr>
          <w:p w14:paraId="3750DACE" w14:textId="77777777" w:rsidR="002541AD" w:rsidRDefault="002541AD">
            <w:pPr>
              <w:rPr>
                <w:rFonts w:ascii="Times New Roman" w:hAnsi="Times New Roman"/>
                <w:sz w:val="20"/>
                <w:szCs w:val="20"/>
              </w:rPr>
            </w:pPr>
          </w:p>
        </w:tc>
        <w:tc>
          <w:tcPr>
            <w:tcW w:w="50" w:type="pct"/>
            <w:shd w:val="clear" w:color="auto" w:fill="auto"/>
            <w:vAlign w:val="center"/>
          </w:tcPr>
          <w:p w14:paraId="3750DACF" w14:textId="77777777" w:rsidR="002541AD" w:rsidRDefault="002541AD">
            <w:pPr>
              <w:rPr>
                <w:rFonts w:ascii="Times New Roman" w:hAnsi="Times New Roman"/>
                <w:sz w:val="20"/>
                <w:szCs w:val="20"/>
              </w:rPr>
            </w:pPr>
          </w:p>
        </w:tc>
        <w:tc>
          <w:tcPr>
            <w:tcW w:w="500" w:type="pct"/>
            <w:shd w:val="clear" w:color="auto" w:fill="auto"/>
            <w:vAlign w:val="center"/>
          </w:tcPr>
          <w:p w14:paraId="3750DAD0" w14:textId="77777777" w:rsidR="002541AD" w:rsidRDefault="002541AD">
            <w:pPr>
              <w:rPr>
                <w:rFonts w:ascii="Times New Roman" w:hAnsi="Times New Roman"/>
                <w:sz w:val="20"/>
                <w:szCs w:val="20"/>
              </w:rPr>
            </w:pPr>
          </w:p>
        </w:tc>
        <w:tc>
          <w:tcPr>
            <w:tcW w:w="50" w:type="pct"/>
            <w:shd w:val="clear" w:color="auto" w:fill="auto"/>
            <w:vAlign w:val="center"/>
          </w:tcPr>
          <w:p w14:paraId="3750DAD1" w14:textId="77777777" w:rsidR="002541AD" w:rsidRDefault="002541AD">
            <w:pPr>
              <w:rPr>
                <w:rFonts w:ascii="Times New Roman" w:hAnsi="Times New Roman"/>
                <w:sz w:val="20"/>
                <w:szCs w:val="20"/>
              </w:rPr>
            </w:pPr>
          </w:p>
        </w:tc>
        <w:tc>
          <w:tcPr>
            <w:tcW w:w="50" w:type="pct"/>
            <w:shd w:val="clear" w:color="auto" w:fill="auto"/>
            <w:vAlign w:val="center"/>
          </w:tcPr>
          <w:p w14:paraId="3750DAD2" w14:textId="77777777" w:rsidR="002541AD" w:rsidRDefault="002541AD">
            <w:pPr>
              <w:rPr>
                <w:rFonts w:ascii="Times New Roman" w:hAnsi="Times New Roman"/>
                <w:sz w:val="20"/>
                <w:szCs w:val="20"/>
              </w:rPr>
            </w:pPr>
          </w:p>
        </w:tc>
        <w:tc>
          <w:tcPr>
            <w:tcW w:w="50" w:type="pct"/>
            <w:shd w:val="clear" w:color="auto" w:fill="auto"/>
            <w:vAlign w:val="center"/>
          </w:tcPr>
          <w:p w14:paraId="3750DAD3" w14:textId="77777777" w:rsidR="002541AD" w:rsidRDefault="002541AD">
            <w:pPr>
              <w:rPr>
                <w:rFonts w:ascii="Times New Roman" w:hAnsi="Times New Roman"/>
                <w:sz w:val="20"/>
                <w:szCs w:val="20"/>
              </w:rPr>
            </w:pPr>
          </w:p>
        </w:tc>
        <w:tc>
          <w:tcPr>
            <w:tcW w:w="500" w:type="pct"/>
            <w:shd w:val="clear" w:color="auto" w:fill="auto"/>
            <w:vAlign w:val="center"/>
          </w:tcPr>
          <w:p w14:paraId="3750DAD4" w14:textId="77777777" w:rsidR="002541AD" w:rsidRDefault="002541AD">
            <w:pPr>
              <w:rPr>
                <w:rFonts w:ascii="Times New Roman" w:hAnsi="Times New Roman"/>
                <w:sz w:val="20"/>
                <w:szCs w:val="20"/>
              </w:rPr>
            </w:pPr>
          </w:p>
        </w:tc>
        <w:tc>
          <w:tcPr>
            <w:tcW w:w="50" w:type="pct"/>
            <w:shd w:val="clear" w:color="auto" w:fill="auto"/>
            <w:vAlign w:val="center"/>
          </w:tcPr>
          <w:p w14:paraId="3750DAD5" w14:textId="77777777" w:rsidR="002541AD" w:rsidRDefault="002541AD">
            <w:pPr>
              <w:rPr>
                <w:rFonts w:ascii="Times New Roman" w:hAnsi="Times New Roman"/>
                <w:sz w:val="20"/>
                <w:szCs w:val="20"/>
              </w:rPr>
            </w:pPr>
          </w:p>
        </w:tc>
      </w:tr>
      <w:tr w:rsidR="002541AD" w14:paraId="3750DADA" w14:textId="77777777">
        <w:trPr>
          <w:jc w:val="center"/>
        </w:trPr>
        <w:tc>
          <w:tcPr>
            <w:tcW w:w="0" w:type="auto"/>
            <w:shd w:val="clear" w:color="auto" w:fill="auto"/>
            <w:tcMar>
              <w:top w:w="40" w:type="dxa"/>
              <w:left w:w="40" w:type="dxa"/>
              <w:bottom w:w="40" w:type="dxa"/>
              <w:right w:w="40" w:type="dxa"/>
            </w:tcMar>
            <w:vAlign w:val="bottom"/>
          </w:tcPr>
          <w:p w14:paraId="3750DAD7"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 </w:t>
            </w:r>
          </w:p>
        </w:tc>
        <w:tc>
          <w:tcPr>
            <w:tcW w:w="0" w:type="auto"/>
            <w:shd w:val="clear" w:color="auto" w:fill="auto"/>
            <w:tcMar>
              <w:top w:w="40" w:type="dxa"/>
              <w:left w:w="40" w:type="dxa"/>
              <w:bottom w:w="40" w:type="dxa"/>
              <w:right w:w="40" w:type="dxa"/>
            </w:tcMar>
            <w:vAlign w:val="bottom"/>
          </w:tcPr>
          <w:p w14:paraId="3750DAD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3750DAD9"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Three Months Ended</w:t>
            </w:r>
          </w:p>
        </w:tc>
      </w:tr>
      <w:tr w:rsidR="002541AD" w14:paraId="3750DAE0" w14:textId="77777777">
        <w:trPr>
          <w:jc w:val="center"/>
        </w:trPr>
        <w:tc>
          <w:tcPr>
            <w:tcW w:w="0" w:type="auto"/>
            <w:tcBorders>
              <w:bottom w:val="single" w:sz="8" w:space="0" w:color="0071C5"/>
            </w:tcBorders>
            <w:shd w:val="clear" w:color="auto" w:fill="auto"/>
            <w:tcMar>
              <w:top w:w="40" w:type="dxa"/>
              <w:left w:w="40" w:type="dxa"/>
              <w:bottom w:w="40" w:type="dxa"/>
              <w:right w:w="40" w:type="dxa"/>
            </w:tcMar>
            <w:vAlign w:val="bottom"/>
          </w:tcPr>
          <w:p w14:paraId="3750DADB"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(In Millions; Unaudited)</w:t>
            </w:r>
          </w:p>
        </w:tc>
        <w:tc>
          <w:tcPr>
            <w:tcW w:w="0" w:type="auto"/>
            <w:shd w:val="clear" w:color="auto" w:fill="auto"/>
            <w:tcMar>
              <w:top w:w="40" w:type="dxa"/>
              <w:left w:w="40" w:type="dxa"/>
              <w:bottom w:w="40" w:type="dxa"/>
              <w:right w:w="40" w:type="dxa"/>
            </w:tcMar>
            <w:vAlign w:val="bottom"/>
          </w:tcPr>
          <w:p w14:paraId="3750DAD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DADD"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c>
          <w:tcPr>
            <w:tcW w:w="0" w:type="auto"/>
            <w:shd w:val="clear" w:color="auto" w:fill="auto"/>
            <w:tcMar>
              <w:top w:w="40" w:type="dxa"/>
              <w:left w:w="40" w:type="dxa"/>
              <w:bottom w:w="40" w:type="dxa"/>
              <w:right w:w="40" w:type="dxa"/>
            </w:tcMar>
            <w:vAlign w:val="bottom"/>
          </w:tcPr>
          <w:p w14:paraId="3750DAD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DADF"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30, </w:t>
            </w:r>
            <w:r>
              <w:rPr>
                <w:rFonts w:ascii="Arial" w:eastAsia="宋体" w:hAnsi="Arial" w:cs="Arial"/>
                <w:b/>
                <w:bCs/>
                <w:color w:val="333333"/>
                <w:sz w:val="18"/>
                <w:szCs w:val="18"/>
              </w:rPr>
              <w:br/>
              <w:t>2019</w:t>
            </w:r>
          </w:p>
        </w:tc>
      </w:tr>
      <w:tr w:rsidR="002541AD" w14:paraId="3750DAE6" w14:textId="77777777">
        <w:trPr>
          <w:jc w:val="center"/>
        </w:trPr>
        <w:tc>
          <w:tcPr>
            <w:tcW w:w="0" w:type="auto"/>
            <w:shd w:val="clear" w:color="auto" w:fill="auto"/>
            <w:tcMar>
              <w:top w:w="40" w:type="dxa"/>
              <w:left w:w="40" w:type="dxa"/>
              <w:bottom w:w="40" w:type="dxa"/>
              <w:right w:w="40" w:type="dxa"/>
            </w:tcMar>
            <w:vAlign w:val="bottom"/>
          </w:tcPr>
          <w:p w14:paraId="3750DAE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AE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71C5"/>
            </w:tcBorders>
            <w:shd w:val="clear" w:color="auto" w:fill="auto"/>
            <w:tcMar>
              <w:top w:w="40" w:type="dxa"/>
              <w:left w:w="40" w:type="dxa"/>
              <w:bottom w:w="40" w:type="dxa"/>
              <w:right w:w="40" w:type="dxa"/>
            </w:tcMar>
            <w:vAlign w:val="bottom"/>
          </w:tcPr>
          <w:p w14:paraId="3750DAE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AE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AE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AF0" w14:textId="77777777">
        <w:trPr>
          <w:jc w:val="center"/>
        </w:trPr>
        <w:tc>
          <w:tcPr>
            <w:tcW w:w="0" w:type="auto"/>
            <w:shd w:val="clear" w:color="auto" w:fill="auto"/>
            <w:tcMar>
              <w:top w:w="40" w:type="dxa"/>
              <w:left w:w="40" w:type="dxa"/>
              <w:bottom w:w="40" w:type="dxa"/>
              <w:right w:w="40" w:type="dxa"/>
            </w:tcMar>
          </w:tcPr>
          <w:p w14:paraId="3750DAE7"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Cash and cash equivalents, beginning of period</w:t>
            </w:r>
          </w:p>
        </w:tc>
        <w:tc>
          <w:tcPr>
            <w:tcW w:w="0" w:type="auto"/>
            <w:shd w:val="clear" w:color="auto" w:fill="auto"/>
            <w:tcMar>
              <w:top w:w="40" w:type="dxa"/>
              <w:left w:w="40" w:type="dxa"/>
              <w:bottom w:w="40" w:type="dxa"/>
              <w:right w:w="40" w:type="dxa"/>
            </w:tcMar>
            <w:vAlign w:val="bottom"/>
          </w:tcPr>
          <w:p w14:paraId="3750DAE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tcMar>
            <w:vAlign w:val="bottom"/>
          </w:tcPr>
          <w:p w14:paraId="3750DAE9"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single" w:sz="8" w:space="0" w:color="333333"/>
            </w:tcBorders>
            <w:shd w:val="clear" w:color="auto" w:fill="auto"/>
            <w:tcMar>
              <w:top w:w="40" w:type="dxa"/>
              <w:bottom w:w="40" w:type="dxa"/>
            </w:tcMar>
            <w:vAlign w:val="bottom"/>
          </w:tcPr>
          <w:p w14:paraId="3750DAEA"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4,194</w:t>
            </w:r>
          </w:p>
        </w:tc>
        <w:tc>
          <w:tcPr>
            <w:tcW w:w="0" w:type="auto"/>
            <w:tcBorders>
              <w:bottom w:val="single" w:sz="8" w:space="0" w:color="333333"/>
            </w:tcBorders>
            <w:shd w:val="clear" w:color="auto" w:fill="auto"/>
            <w:vAlign w:val="bottom"/>
          </w:tcPr>
          <w:p w14:paraId="3750DAE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AE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tcMar>
            <w:vAlign w:val="bottom"/>
          </w:tcPr>
          <w:p w14:paraId="3750DAED"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single" w:sz="8" w:space="0" w:color="333333"/>
            </w:tcBorders>
            <w:shd w:val="clear" w:color="auto" w:fill="auto"/>
            <w:tcMar>
              <w:top w:w="40" w:type="dxa"/>
              <w:bottom w:w="40" w:type="dxa"/>
            </w:tcMar>
            <w:vAlign w:val="bottom"/>
          </w:tcPr>
          <w:p w14:paraId="3750DAEE"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3,019</w:t>
            </w:r>
          </w:p>
        </w:tc>
        <w:tc>
          <w:tcPr>
            <w:tcW w:w="0" w:type="auto"/>
            <w:tcBorders>
              <w:bottom w:val="single" w:sz="8" w:space="0" w:color="333333"/>
            </w:tcBorders>
            <w:shd w:val="clear" w:color="auto" w:fill="auto"/>
            <w:vAlign w:val="bottom"/>
          </w:tcPr>
          <w:p w14:paraId="3750DAEF" w14:textId="77777777" w:rsidR="002541AD" w:rsidRDefault="002541AD">
            <w:pPr>
              <w:textAlignment w:val="bottom"/>
              <w:rPr>
                <w:rFonts w:ascii="Times New Roman" w:hAnsi="Times New Roman"/>
                <w:sz w:val="20"/>
                <w:szCs w:val="20"/>
              </w:rPr>
            </w:pPr>
          </w:p>
        </w:tc>
      </w:tr>
      <w:tr w:rsidR="002541AD" w14:paraId="3750DAF6" w14:textId="77777777">
        <w:trPr>
          <w:jc w:val="center"/>
        </w:trPr>
        <w:tc>
          <w:tcPr>
            <w:tcW w:w="0" w:type="auto"/>
            <w:shd w:val="clear" w:color="auto" w:fill="auto"/>
            <w:tcMar>
              <w:top w:w="40" w:type="dxa"/>
              <w:left w:w="40" w:type="dxa"/>
              <w:bottom w:w="40" w:type="dxa"/>
              <w:right w:w="40" w:type="dxa"/>
            </w:tcMar>
          </w:tcPr>
          <w:p w14:paraId="3750DAF1"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Cash flows provided by (used for) operating activities:</w:t>
            </w:r>
          </w:p>
        </w:tc>
        <w:tc>
          <w:tcPr>
            <w:tcW w:w="0" w:type="auto"/>
            <w:shd w:val="clear" w:color="auto" w:fill="auto"/>
            <w:tcMar>
              <w:top w:w="40" w:type="dxa"/>
              <w:left w:w="40" w:type="dxa"/>
              <w:bottom w:w="40" w:type="dxa"/>
              <w:right w:w="40" w:type="dxa"/>
            </w:tcMar>
            <w:vAlign w:val="bottom"/>
          </w:tcPr>
          <w:p w14:paraId="3750DAF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AF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AF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AF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AFE" w14:textId="77777777">
        <w:trPr>
          <w:jc w:val="center"/>
        </w:trPr>
        <w:tc>
          <w:tcPr>
            <w:tcW w:w="0" w:type="auto"/>
            <w:shd w:val="clear" w:color="auto" w:fill="auto"/>
            <w:tcMar>
              <w:top w:w="40" w:type="dxa"/>
              <w:left w:w="240" w:type="dxa"/>
              <w:bottom w:w="40" w:type="dxa"/>
              <w:right w:w="40" w:type="dxa"/>
            </w:tcMar>
          </w:tcPr>
          <w:p w14:paraId="3750DAF7"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Net income</w:t>
            </w:r>
          </w:p>
        </w:tc>
        <w:tc>
          <w:tcPr>
            <w:tcW w:w="0" w:type="auto"/>
            <w:shd w:val="clear" w:color="auto" w:fill="auto"/>
            <w:tcMar>
              <w:top w:w="40" w:type="dxa"/>
              <w:left w:w="40" w:type="dxa"/>
              <w:bottom w:w="40" w:type="dxa"/>
              <w:right w:w="40" w:type="dxa"/>
            </w:tcMar>
            <w:vAlign w:val="bottom"/>
          </w:tcPr>
          <w:p w14:paraId="3750DAF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F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5,661</w:t>
            </w:r>
          </w:p>
        </w:tc>
        <w:tc>
          <w:tcPr>
            <w:tcW w:w="0" w:type="auto"/>
            <w:shd w:val="clear" w:color="auto" w:fill="auto"/>
            <w:vAlign w:val="bottom"/>
          </w:tcPr>
          <w:p w14:paraId="3750DAF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AF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AF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3,974</w:t>
            </w:r>
          </w:p>
        </w:tc>
        <w:tc>
          <w:tcPr>
            <w:tcW w:w="0" w:type="auto"/>
            <w:shd w:val="clear" w:color="auto" w:fill="auto"/>
            <w:vAlign w:val="bottom"/>
          </w:tcPr>
          <w:p w14:paraId="3750DAFD" w14:textId="77777777" w:rsidR="002541AD" w:rsidRDefault="002541AD">
            <w:pPr>
              <w:textAlignment w:val="bottom"/>
              <w:rPr>
                <w:rFonts w:ascii="Times New Roman" w:hAnsi="Times New Roman"/>
                <w:sz w:val="20"/>
                <w:szCs w:val="20"/>
              </w:rPr>
            </w:pPr>
          </w:p>
        </w:tc>
      </w:tr>
      <w:tr w:rsidR="002541AD" w14:paraId="3750DB04" w14:textId="77777777">
        <w:trPr>
          <w:jc w:val="center"/>
        </w:trPr>
        <w:tc>
          <w:tcPr>
            <w:tcW w:w="0" w:type="auto"/>
            <w:shd w:val="clear" w:color="auto" w:fill="auto"/>
            <w:tcMar>
              <w:top w:w="40" w:type="dxa"/>
              <w:left w:w="240" w:type="dxa"/>
              <w:bottom w:w="40" w:type="dxa"/>
              <w:right w:w="40" w:type="dxa"/>
            </w:tcMar>
          </w:tcPr>
          <w:p w14:paraId="3750DAFF"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Adjustments to reconcile net income to net cash provided by operating activities:</w:t>
            </w:r>
          </w:p>
        </w:tc>
        <w:tc>
          <w:tcPr>
            <w:tcW w:w="0" w:type="auto"/>
            <w:shd w:val="clear" w:color="auto" w:fill="auto"/>
            <w:tcMar>
              <w:top w:w="40" w:type="dxa"/>
              <w:left w:w="40" w:type="dxa"/>
              <w:bottom w:w="40" w:type="dxa"/>
              <w:right w:w="40" w:type="dxa"/>
            </w:tcMar>
            <w:vAlign w:val="bottom"/>
          </w:tcPr>
          <w:p w14:paraId="3750DB0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B0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B0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B0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B0C" w14:textId="77777777">
        <w:trPr>
          <w:jc w:val="center"/>
        </w:trPr>
        <w:tc>
          <w:tcPr>
            <w:tcW w:w="0" w:type="auto"/>
            <w:shd w:val="clear" w:color="auto" w:fill="auto"/>
            <w:tcMar>
              <w:top w:w="40" w:type="dxa"/>
              <w:left w:w="560" w:type="dxa"/>
              <w:bottom w:w="40" w:type="dxa"/>
              <w:right w:w="40" w:type="dxa"/>
            </w:tcMar>
          </w:tcPr>
          <w:p w14:paraId="3750DB05"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Depreciation</w:t>
            </w:r>
          </w:p>
        </w:tc>
        <w:tc>
          <w:tcPr>
            <w:tcW w:w="0" w:type="auto"/>
            <w:shd w:val="clear" w:color="auto" w:fill="auto"/>
            <w:tcMar>
              <w:top w:w="40" w:type="dxa"/>
              <w:left w:w="40" w:type="dxa"/>
              <w:bottom w:w="40" w:type="dxa"/>
              <w:right w:w="40" w:type="dxa"/>
            </w:tcMar>
            <w:vAlign w:val="bottom"/>
          </w:tcPr>
          <w:p w14:paraId="3750DB0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0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2,623</w:t>
            </w:r>
          </w:p>
        </w:tc>
        <w:tc>
          <w:tcPr>
            <w:tcW w:w="0" w:type="auto"/>
            <w:shd w:val="clear" w:color="auto" w:fill="auto"/>
            <w:vAlign w:val="bottom"/>
          </w:tcPr>
          <w:p w14:paraId="3750DB0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B0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0A"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2,229</w:t>
            </w:r>
          </w:p>
        </w:tc>
        <w:tc>
          <w:tcPr>
            <w:tcW w:w="0" w:type="auto"/>
            <w:shd w:val="clear" w:color="auto" w:fill="auto"/>
            <w:vAlign w:val="bottom"/>
          </w:tcPr>
          <w:p w14:paraId="3750DB0B" w14:textId="77777777" w:rsidR="002541AD" w:rsidRDefault="002541AD">
            <w:pPr>
              <w:textAlignment w:val="bottom"/>
              <w:rPr>
                <w:rFonts w:ascii="Times New Roman" w:hAnsi="Times New Roman"/>
                <w:sz w:val="20"/>
                <w:szCs w:val="20"/>
              </w:rPr>
            </w:pPr>
          </w:p>
        </w:tc>
      </w:tr>
      <w:tr w:rsidR="002541AD" w14:paraId="3750DB14" w14:textId="77777777">
        <w:trPr>
          <w:jc w:val="center"/>
        </w:trPr>
        <w:tc>
          <w:tcPr>
            <w:tcW w:w="0" w:type="auto"/>
            <w:shd w:val="clear" w:color="auto" w:fill="auto"/>
            <w:tcMar>
              <w:top w:w="40" w:type="dxa"/>
              <w:left w:w="560" w:type="dxa"/>
              <w:bottom w:w="40" w:type="dxa"/>
              <w:right w:w="40" w:type="dxa"/>
            </w:tcMar>
          </w:tcPr>
          <w:p w14:paraId="3750DB0D"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Share-based compensation</w:t>
            </w:r>
          </w:p>
        </w:tc>
        <w:tc>
          <w:tcPr>
            <w:tcW w:w="0" w:type="auto"/>
            <w:shd w:val="clear" w:color="auto" w:fill="auto"/>
            <w:tcMar>
              <w:top w:w="40" w:type="dxa"/>
              <w:left w:w="40" w:type="dxa"/>
              <w:bottom w:w="40" w:type="dxa"/>
              <w:right w:w="40" w:type="dxa"/>
            </w:tcMar>
            <w:vAlign w:val="bottom"/>
          </w:tcPr>
          <w:p w14:paraId="3750DB0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0F"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449</w:t>
            </w:r>
          </w:p>
        </w:tc>
        <w:tc>
          <w:tcPr>
            <w:tcW w:w="0" w:type="auto"/>
            <w:shd w:val="clear" w:color="auto" w:fill="auto"/>
            <w:vAlign w:val="bottom"/>
          </w:tcPr>
          <w:p w14:paraId="3750DB1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B1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1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389</w:t>
            </w:r>
          </w:p>
        </w:tc>
        <w:tc>
          <w:tcPr>
            <w:tcW w:w="0" w:type="auto"/>
            <w:shd w:val="clear" w:color="auto" w:fill="auto"/>
            <w:vAlign w:val="bottom"/>
          </w:tcPr>
          <w:p w14:paraId="3750DB13" w14:textId="77777777" w:rsidR="002541AD" w:rsidRDefault="002541AD">
            <w:pPr>
              <w:textAlignment w:val="bottom"/>
              <w:rPr>
                <w:rFonts w:ascii="Times New Roman" w:hAnsi="Times New Roman"/>
                <w:sz w:val="20"/>
                <w:szCs w:val="20"/>
              </w:rPr>
            </w:pPr>
          </w:p>
        </w:tc>
      </w:tr>
      <w:tr w:rsidR="002541AD" w14:paraId="3750DB1C" w14:textId="77777777">
        <w:trPr>
          <w:jc w:val="center"/>
        </w:trPr>
        <w:tc>
          <w:tcPr>
            <w:tcW w:w="0" w:type="auto"/>
            <w:shd w:val="clear" w:color="auto" w:fill="auto"/>
            <w:tcMar>
              <w:top w:w="40" w:type="dxa"/>
              <w:left w:w="560" w:type="dxa"/>
              <w:bottom w:w="40" w:type="dxa"/>
              <w:right w:w="40" w:type="dxa"/>
            </w:tcMar>
          </w:tcPr>
          <w:p w14:paraId="3750DB15"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Amortization of intangibles</w:t>
            </w:r>
          </w:p>
        </w:tc>
        <w:tc>
          <w:tcPr>
            <w:tcW w:w="0" w:type="auto"/>
            <w:shd w:val="clear" w:color="auto" w:fill="auto"/>
            <w:tcMar>
              <w:top w:w="40" w:type="dxa"/>
              <w:left w:w="40" w:type="dxa"/>
              <w:bottom w:w="40" w:type="dxa"/>
              <w:right w:w="40" w:type="dxa"/>
            </w:tcMar>
            <w:vAlign w:val="bottom"/>
          </w:tcPr>
          <w:p w14:paraId="3750DB1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1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427</w:t>
            </w:r>
          </w:p>
        </w:tc>
        <w:tc>
          <w:tcPr>
            <w:tcW w:w="0" w:type="auto"/>
            <w:shd w:val="clear" w:color="auto" w:fill="auto"/>
            <w:vAlign w:val="bottom"/>
          </w:tcPr>
          <w:p w14:paraId="3750DB1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B1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1A"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396</w:t>
            </w:r>
          </w:p>
        </w:tc>
        <w:tc>
          <w:tcPr>
            <w:tcW w:w="0" w:type="auto"/>
            <w:shd w:val="clear" w:color="auto" w:fill="auto"/>
            <w:vAlign w:val="bottom"/>
          </w:tcPr>
          <w:p w14:paraId="3750DB1B" w14:textId="77777777" w:rsidR="002541AD" w:rsidRDefault="002541AD">
            <w:pPr>
              <w:textAlignment w:val="bottom"/>
              <w:rPr>
                <w:rFonts w:ascii="Times New Roman" w:hAnsi="Times New Roman"/>
                <w:sz w:val="20"/>
                <w:szCs w:val="20"/>
              </w:rPr>
            </w:pPr>
          </w:p>
        </w:tc>
      </w:tr>
      <w:tr w:rsidR="002541AD" w14:paraId="3750DB24" w14:textId="77777777">
        <w:trPr>
          <w:jc w:val="center"/>
        </w:trPr>
        <w:tc>
          <w:tcPr>
            <w:tcW w:w="0" w:type="auto"/>
            <w:shd w:val="clear" w:color="auto" w:fill="auto"/>
            <w:tcMar>
              <w:top w:w="40" w:type="dxa"/>
              <w:left w:w="560" w:type="dxa"/>
              <w:bottom w:w="40" w:type="dxa"/>
              <w:right w:w="40" w:type="dxa"/>
            </w:tcMar>
          </w:tcPr>
          <w:p w14:paraId="3750DB1D"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(Gains) losses on equity investments, net</w:t>
            </w:r>
          </w:p>
        </w:tc>
        <w:tc>
          <w:tcPr>
            <w:tcW w:w="0" w:type="auto"/>
            <w:shd w:val="clear" w:color="auto" w:fill="auto"/>
            <w:tcMar>
              <w:top w:w="40" w:type="dxa"/>
              <w:left w:w="40" w:type="dxa"/>
              <w:bottom w:w="40" w:type="dxa"/>
              <w:right w:w="40" w:type="dxa"/>
            </w:tcMar>
            <w:vAlign w:val="bottom"/>
          </w:tcPr>
          <w:p w14:paraId="3750DB1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1F"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134</w:t>
            </w:r>
          </w:p>
        </w:tc>
        <w:tc>
          <w:tcPr>
            <w:tcW w:w="0" w:type="auto"/>
            <w:shd w:val="clear" w:color="auto" w:fill="auto"/>
            <w:vAlign w:val="bottom"/>
          </w:tcPr>
          <w:p w14:paraId="3750DB2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B2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2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(274</w:t>
            </w:r>
          </w:p>
        </w:tc>
        <w:tc>
          <w:tcPr>
            <w:tcW w:w="0" w:type="auto"/>
            <w:shd w:val="clear" w:color="auto" w:fill="auto"/>
            <w:tcMar>
              <w:top w:w="40" w:type="dxa"/>
              <w:bottom w:w="40" w:type="dxa"/>
              <w:right w:w="40" w:type="dxa"/>
            </w:tcMar>
            <w:vAlign w:val="bottom"/>
          </w:tcPr>
          <w:p w14:paraId="3750DB23"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DB2A" w14:textId="77777777">
        <w:trPr>
          <w:jc w:val="center"/>
        </w:trPr>
        <w:tc>
          <w:tcPr>
            <w:tcW w:w="0" w:type="auto"/>
            <w:shd w:val="clear" w:color="auto" w:fill="auto"/>
            <w:tcMar>
              <w:top w:w="40" w:type="dxa"/>
              <w:left w:w="560" w:type="dxa"/>
              <w:bottom w:w="40" w:type="dxa"/>
              <w:right w:w="40" w:type="dxa"/>
            </w:tcMar>
          </w:tcPr>
          <w:p w14:paraId="3750DB25"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Changes in assets and liabilities:</w:t>
            </w:r>
          </w:p>
        </w:tc>
        <w:tc>
          <w:tcPr>
            <w:tcW w:w="0" w:type="auto"/>
            <w:shd w:val="clear" w:color="auto" w:fill="auto"/>
            <w:tcMar>
              <w:top w:w="40" w:type="dxa"/>
              <w:left w:w="40" w:type="dxa"/>
              <w:bottom w:w="40" w:type="dxa"/>
              <w:right w:w="40" w:type="dxa"/>
            </w:tcMar>
            <w:vAlign w:val="bottom"/>
          </w:tcPr>
          <w:p w14:paraId="3750DB2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B2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B2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B2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B32" w14:textId="77777777">
        <w:trPr>
          <w:jc w:val="center"/>
        </w:trPr>
        <w:tc>
          <w:tcPr>
            <w:tcW w:w="0" w:type="auto"/>
            <w:shd w:val="clear" w:color="auto" w:fill="auto"/>
            <w:tcMar>
              <w:top w:w="40" w:type="dxa"/>
              <w:left w:w="880" w:type="dxa"/>
              <w:bottom w:w="40" w:type="dxa"/>
              <w:right w:w="40" w:type="dxa"/>
            </w:tcMar>
          </w:tcPr>
          <w:p w14:paraId="3750DB2B"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Accounts receivable</w:t>
            </w:r>
          </w:p>
        </w:tc>
        <w:tc>
          <w:tcPr>
            <w:tcW w:w="0" w:type="auto"/>
            <w:shd w:val="clear" w:color="auto" w:fill="auto"/>
            <w:tcMar>
              <w:top w:w="40" w:type="dxa"/>
              <w:left w:w="40" w:type="dxa"/>
              <w:bottom w:w="40" w:type="dxa"/>
              <w:right w:w="40" w:type="dxa"/>
            </w:tcMar>
            <w:vAlign w:val="bottom"/>
          </w:tcPr>
          <w:p w14:paraId="3750DB2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2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(796</w:t>
            </w:r>
          </w:p>
        </w:tc>
        <w:tc>
          <w:tcPr>
            <w:tcW w:w="0" w:type="auto"/>
            <w:shd w:val="clear" w:color="auto" w:fill="auto"/>
            <w:tcMar>
              <w:top w:w="40" w:type="dxa"/>
              <w:bottom w:w="40" w:type="dxa"/>
              <w:right w:w="40" w:type="dxa"/>
            </w:tcMar>
            <w:vAlign w:val="bottom"/>
          </w:tcPr>
          <w:p w14:paraId="3750DB2E"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B2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30"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(235</w:t>
            </w:r>
          </w:p>
        </w:tc>
        <w:tc>
          <w:tcPr>
            <w:tcW w:w="0" w:type="auto"/>
            <w:shd w:val="clear" w:color="auto" w:fill="auto"/>
            <w:tcMar>
              <w:top w:w="40" w:type="dxa"/>
              <w:bottom w:w="40" w:type="dxa"/>
              <w:right w:w="40" w:type="dxa"/>
            </w:tcMar>
            <w:vAlign w:val="bottom"/>
          </w:tcPr>
          <w:p w14:paraId="3750DB31"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DB3A" w14:textId="77777777">
        <w:trPr>
          <w:jc w:val="center"/>
        </w:trPr>
        <w:tc>
          <w:tcPr>
            <w:tcW w:w="0" w:type="auto"/>
            <w:shd w:val="clear" w:color="auto" w:fill="auto"/>
            <w:tcMar>
              <w:top w:w="40" w:type="dxa"/>
              <w:left w:w="880" w:type="dxa"/>
              <w:bottom w:w="40" w:type="dxa"/>
              <w:right w:w="40" w:type="dxa"/>
            </w:tcMar>
          </w:tcPr>
          <w:p w14:paraId="3750DB33"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Inventories</w:t>
            </w:r>
          </w:p>
        </w:tc>
        <w:tc>
          <w:tcPr>
            <w:tcW w:w="0" w:type="auto"/>
            <w:shd w:val="clear" w:color="auto" w:fill="auto"/>
            <w:tcMar>
              <w:top w:w="40" w:type="dxa"/>
              <w:left w:w="40" w:type="dxa"/>
              <w:bottom w:w="40" w:type="dxa"/>
              <w:right w:w="40" w:type="dxa"/>
            </w:tcMar>
            <w:vAlign w:val="bottom"/>
          </w:tcPr>
          <w:p w14:paraId="3750DB3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35"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(548</w:t>
            </w:r>
          </w:p>
        </w:tc>
        <w:tc>
          <w:tcPr>
            <w:tcW w:w="0" w:type="auto"/>
            <w:shd w:val="clear" w:color="auto" w:fill="auto"/>
            <w:tcMar>
              <w:top w:w="40" w:type="dxa"/>
              <w:bottom w:w="40" w:type="dxa"/>
              <w:right w:w="40" w:type="dxa"/>
            </w:tcMar>
            <w:vAlign w:val="bottom"/>
          </w:tcPr>
          <w:p w14:paraId="3750DB36"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B3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3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(512</w:t>
            </w:r>
          </w:p>
        </w:tc>
        <w:tc>
          <w:tcPr>
            <w:tcW w:w="0" w:type="auto"/>
            <w:shd w:val="clear" w:color="auto" w:fill="auto"/>
            <w:tcMar>
              <w:top w:w="40" w:type="dxa"/>
              <w:bottom w:w="40" w:type="dxa"/>
              <w:right w:w="40" w:type="dxa"/>
            </w:tcMar>
            <w:vAlign w:val="bottom"/>
          </w:tcPr>
          <w:p w14:paraId="3750DB39"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DB42" w14:textId="77777777">
        <w:trPr>
          <w:jc w:val="center"/>
        </w:trPr>
        <w:tc>
          <w:tcPr>
            <w:tcW w:w="0" w:type="auto"/>
            <w:shd w:val="clear" w:color="auto" w:fill="auto"/>
            <w:tcMar>
              <w:top w:w="40" w:type="dxa"/>
              <w:left w:w="880" w:type="dxa"/>
              <w:bottom w:w="40" w:type="dxa"/>
              <w:right w:w="40" w:type="dxa"/>
            </w:tcMar>
          </w:tcPr>
          <w:p w14:paraId="3750DB3B"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Accounts payable</w:t>
            </w:r>
          </w:p>
        </w:tc>
        <w:tc>
          <w:tcPr>
            <w:tcW w:w="0" w:type="auto"/>
            <w:shd w:val="clear" w:color="auto" w:fill="auto"/>
            <w:tcMar>
              <w:top w:w="40" w:type="dxa"/>
              <w:left w:w="40" w:type="dxa"/>
              <w:bottom w:w="40" w:type="dxa"/>
              <w:right w:w="40" w:type="dxa"/>
            </w:tcMar>
            <w:vAlign w:val="bottom"/>
          </w:tcPr>
          <w:p w14:paraId="3750DB3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3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117</w:t>
            </w:r>
          </w:p>
        </w:tc>
        <w:tc>
          <w:tcPr>
            <w:tcW w:w="0" w:type="auto"/>
            <w:shd w:val="clear" w:color="auto" w:fill="auto"/>
            <w:vAlign w:val="bottom"/>
          </w:tcPr>
          <w:p w14:paraId="3750DB3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B3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40"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196</w:t>
            </w:r>
          </w:p>
        </w:tc>
        <w:tc>
          <w:tcPr>
            <w:tcW w:w="0" w:type="auto"/>
            <w:shd w:val="clear" w:color="auto" w:fill="auto"/>
            <w:vAlign w:val="bottom"/>
          </w:tcPr>
          <w:p w14:paraId="3750DB41" w14:textId="77777777" w:rsidR="002541AD" w:rsidRDefault="002541AD">
            <w:pPr>
              <w:textAlignment w:val="bottom"/>
              <w:rPr>
                <w:rFonts w:ascii="Times New Roman" w:hAnsi="Times New Roman"/>
                <w:sz w:val="20"/>
                <w:szCs w:val="20"/>
              </w:rPr>
            </w:pPr>
          </w:p>
        </w:tc>
      </w:tr>
      <w:tr w:rsidR="002541AD" w14:paraId="3750DB4A" w14:textId="77777777">
        <w:trPr>
          <w:jc w:val="center"/>
        </w:trPr>
        <w:tc>
          <w:tcPr>
            <w:tcW w:w="0" w:type="auto"/>
            <w:shd w:val="clear" w:color="auto" w:fill="auto"/>
            <w:tcMar>
              <w:top w:w="40" w:type="dxa"/>
              <w:left w:w="880" w:type="dxa"/>
              <w:bottom w:w="40" w:type="dxa"/>
              <w:right w:w="40" w:type="dxa"/>
            </w:tcMar>
          </w:tcPr>
          <w:p w14:paraId="3750DB43"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Accrued compensation and benefits</w:t>
            </w:r>
          </w:p>
        </w:tc>
        <w:tc>
          <w:tcPr>
            <w:tcW w:w="0" w:type="auto"/>
            <w:shd w:val="clear" w:color="auto" w:fill="auto"/>
            <w:tcMar>
              <w:top w:w="40" w:type="dxa"/>
              <w:left w:w="40" w:type="dxa"/>
              <w:bottom w:w="40" w:type="dxa"/>
              <w:right w:w="40" w:type="dxa"/>
            </w:tcMar>
            <w:vAlign w:val="bottom"/>
          </w:tcPr>
          <w:p w14:paraId="3750DB4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45"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(1,500</w:t>
            </w:r>
          </w:p>
        </w:tc>
        <w:tc>
          <w:tcPr>
            <w:tcW w:w="0" w:type="auto"/>
            <w:shd w:val="clear" w:color="auto" w:fill="auto"/>
            <w:tcMar>
              <w:top w:w="40" w:type="dxa"/>
              <w:bottom w:w="40" w:type="dxa"/>
              <w:right w:w="40" w:type="dxa"/>
            </w:tcMar>
            <w:vAlign w:val="bottom"/>
          </w:tcPr>
          <w:p w14:paraId="3750DB46"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B4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4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(1,620</w:t>
            </w:r>
          </w:p>
        </w:tc>
        <w:tc>
          <w:tcPr>
            <w:tcW w:w="0" w:type="auto"/>
            <w:shd w:val="clear" w:color="auto" w:fill="auto"/>
            <w:tcMar>
              <w:top w:w="40" w:type="dxa"/>
              <w:bottom w:w="40" w:type="dxa"/>
              <w:right w:w="40" w:type="dxa"/>
            </w:tcMar>
            <w:vAlign w:val="bottom"/>
          </w:tcPr>
          <w:p w14:paraId="3750DB49"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DB52" w14:textId="77777777">
        <w:trPr>
          <w:jc w:val="center"/>
        </w:trPr>
        <w:tc>
          <w:tcPr>
            <w:tcW w:w="0" w:type="auto"/>
            <w:shd w:val="clear" w:color="auto" w:fill="auto"/>
            <w:tcMar>
              <w:top w:w="40" w:type="dxa"/>
              <w:left w:w="880" w:type="dxa"/>
              <w:bottom w:w="40" w:type="dxa"/>
              <w:right w:w="40" w:type="dxa"/>
            </w:tcMar>
          </w:tcPr>
          <w:p w14:paraId="3750DB4B"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Prepaid supply agreements</w:t>
            </w:r>
          </w:p>
        </w:tc>
        <w:tc>
          <w:tcPr>
            <w:tcW w:w="0" w:type="auto"/>
            <w:shd w:val="clear" w:color="auto" w:fill="auto"/>
            <w:tcMar>
              <w:top w:w="40" w:type="dxa"/>
              <w:left w:w="40" w:type="dxa"/>
              <w:bottom w:w="40" w:type="dxa"/>
              <w:right w:w="40" w:type="dxa"/>
            </w:tcMar>
            <w:vAlign w:val="bottom"/>
          </w:tcPr>
          <w:p w14:paraId="3750DB4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4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(87</w:t>
            </w:r>
          </w:p>
        </w:tc>
        <w:tc>
          <w:tcPr>
            <w:tcW w:w="0" w:type="auto"/>
            <w:shd w:val="clear" w:color="auto" w:fill="auto"/>
            <w:tcMar>
              <w:top w:w="40" w:type="dxa"/>
              <w:bottom w:w="40" w:type="dxa"/>
              <w:right w:w="40" w:type="dxa"/>
            </w:tcMar>
            <w:vAlign w:val="bottom"/>
          </w:tcPr>
          <w:p w14:paraId="3750DB4E"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B4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50"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(228</w:t>
            </w:r>
          </w:p>
        </w:tc>
        <w:tc>
          <w:tcPr>
            <w:tcW w:w="0" w:type="auto"/>
            <w:shd w:val="clear" w:color="auto" w:fill="auto"/>
            <w:tcMar>
              <w:top w:w="40" w:type="dxa"/>
              <w:bottom w:w="40" w:type="dxa"/>
              <w:right w:w="40" w:type="dxa"/>
            </w:tcMar>
            <w:vAlign w:val="bottom"/>
          </w:tcPr>
          <w:p w14:paraId="3750DB51"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DB5A" w14:textId="77777777">
        <w:trPr>
          <w:jc w:val="center"/>
        </w:trPr>
        <w:tc>
          <w:tcPr>
            <w:tcW w:w="0" w:type="auto"/>
            <w:shd w:val="clear" w:color="auto" w:fill="auto"/>
            <w:tcMar>
              <w:top w:w="40" w:type="dxa"/>
              <w:left w:w="880" w:type="dxa"/>
              <w:bottom w:w="40" w:type="dxa"/>
              <w:right w:w="40" w:type="dxa"/>
            </w:tcMar>
          </w:tcPr>
          <w:p w14:paraId="3750DB53"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Income taxes</w:t>
            </w:r>
          </w:p>
        </w:tc>
        <w:tc>
          <w:tcPr>
            <w:tcW w:w="0" w:type="auto"/>
            <w:shd w:val="clear" w:color="auto" w:fill="auto"/>
            <w:tcMar>
              <w:top w:w="40" w:type="dxa"/>
              <w:left w:w="40" w:type="dxa"/>
              <w:bottom w:w="40" w:type="dxa"/>
              <w:right w:w="40" w:type="dxa"/>
            </w:tcMar>
            <w:vAlign w:val="bottom"/>
          </w:tcPr>
          <w:p w14:paraId="3750DB5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55"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753</w:t>
            </w:r>
          </w:p>
        </w:tc>
        <w:tc>
          <w:tcPr>
            <w:tcW w:w="0" w:type="auto"/>
            <w:shd w:val="clear" w:color="auto" w:fill="auto"/>
            <w:vAlign w:val="bottom"/>
          </w:tcPr>
          <w:p w14:paraId="3750DB5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B5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5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440</w:t>
            </w:r>
          </w:p>
        </w:tc>
        <w:tc>
          <w:tcPr>
            <w:tcW w:w="0" w:type="auto"/>
            <w:shd w:val="clear" w:color="auto" w:fill="auto"/>
            <w:vAlign w:val="bottom"/>
          </w:tcPr>
          <w:p w14:paraId="3750DB59" w14:textId="77777777" w:rsidR="002541AD" w:rsidRDefault="002541AD">
            <w:pPr>
              <w:textAlignment w:val="bottom"/>
              <w:rPr>
                <w:rFonts w:ascii="Times New Roman" w:hAnsi="Times New Roman"/>
                <w:sz w:val="20"/>
                <w:szCs w:val="20"/>
              </w:rPr>
            </w:pPr>
          </w:p>
        </w:tc>
      </w:tr>
      <w:tr w:rsidR="002541AD" w14:paraId="3750DB62" w14:textId="77777777">
        <w:trPr>
          <w:jc w:val="center"/>
        </w:trPr>
        <w:tc>
          <w:tcPr>
            <w:tcW w:w="0" w:type="auto"/>
            <w:shd w:val="clear" w:color="auto" w:fill="auto"/>
            <w:tcMar>
              <w:top w:w="40" w:type="dxa"/>
              <w:left w:w="880" w:type="dxa"/>
              <w:bottom w:w="40" w:type="dxa"/>
              <w:right w:w="40" w:type="dxa"/>
            </w:tcMar>
          </w:tcPr>
          <w:p w14:paraId="3750DB5B"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Other assets and liabilities</w:t>
            </w:r>
          </w:p>
        </w:tc>
        <w:tc>
          <w:tcPr>
            <w:tcW w:w="0" w:type="auto"/>
            <w:shd w:val="clear" w:color="auto" w:fill="auto"/>
            <w:tcMar>
              <w:top w:w="40" w:type="dxa"/>
              <w:left w:w="40" w:type="dxa"/>
              <w:bottom w:w="40" w:type="dxa"/>
              <w:right w:w="40" w:type="dxa"/>
            </w:tcMar>
            <w:vAlign w:val="bottom"/>
          </w:tcPr>
          <w:p w14:paraId="3750DB5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5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(1,075</w:t>
            </w:r>
          </w:p>
        </w:tc>
        <w:tc>
          <w:tcPr>
            <w:tcW w:w="0" w:type="auto"/>
            <w:shd w:val="clear" w:color="auto" w:fill="auto"/>
            <w:tcMar>
              <w:top w:w="40" w:type="dxa"/>
              <w:bottom w:w="40" w:type="dxa"/>
              <w:right w:w="40" w:type="dxa"/>
            </w:tcMar>
            <w:vAlign w:val="bottom"/>
          </w:tcPr>
          <w:p w14:paraId="3750DB5E"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B5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60"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204</w:t>
            </w:r>
          </w:p>
        </w:tc>
        <w:tc>
          <w:tcPr>
            <w:tcW w:w="0" w:type="auto"/>
            <w:shd w:val="clear" w:color="auto" w:fill="auto"/>
            <w:vAlign w:val="bottom"/>
          </w:tcPr>
          <w:p w14:paraId="3750DB61" w14:textId="77777777" w:rsidR="002541AD" w:rsidRDefault="002541AD">
            <w:pPr>
              <w:textAlignment w:val="bottom"/>
              <w:rPr>
                <w:rFonts w:ascii="Times New Roman" w:hAnsi="Times New Roman"/>
                <w:sz w:val="20"/>
                <w:szCs w:val="20"/>
              </w:rPr>
            </w:pPr>
          </w:p>
        </w:tc>
      </w:tr>
      <w:tr w:rsidR="002541AD" w14:paraId="3750DB6A" w14:textId="77777777">
        <w:trPr>
          <w:jc w:val="center"/>
        </w:trPr>
        <w:tc>
          <w:tcPr>
            <w:tcW w:w="0" w:type="auto"/>
            <w:shd w:val="clear" w:color="auto" w:fill="auto"/>
            <w:tcMar>
              <w:top w:w="40" w:type="dxa"/>
              <w:left w:w="240" w:type="dxa"/>
              <w:bottom w:w="40" w:type="dxa"/>
              <w:right w:w="40" w:type="dxa"/>
            </w:tcMar>
          </w:tcPr>
          <w:p w14:paraId="3750DB63"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Total adjustments</w:t>
            </w:r>
          </w:p>
        </w:tc>
        <w:tc>
          <w:tcPr>
            <w:tcW w:w="0" w:type="auto"/>
            <w:shd w:val="clear" w:color="auto" w:fill="auto"/>
            <w:tcMar>
              <w:top w:w="40" w:type="dxa"/>
              <w:left w:w="40" w:type="dxa"/>
              <w:bottom w:w="40" w:type="dxa"/>
              <w:right w:w="40" w:type="dxa"/>
            </w:tcMar>
            <w:vAlign w:val="bottom"/>
          </w:tcPr>
          <w:p w14:paraId="3750DB6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DB65"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497</w:t>
            </w:r>
          </w:p>
        </w:tc>
        <w:tc>
          <w:tcPr>
            <w:tcW w:w="0" w:type="auto"/>
            <w:tcBorders>
              <w:top w:val="single" w:sz="8" w:space="0" w:color="333333"/>
              <w:bottom w:val="single" w:sz="8" w:space="0" w:color="333333"/>
            </w:tcBorders>
            <w:shd w:val="clear" w:color="auto" w:fill="auto"/>
            <w:vAlign w:val="bottom"/>
          </w:tcPr>
          <w:p w14:paraId="3750DB6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B6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DB6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985</w:t>
            </w:r>
          </w:p>
        </w:tc>
        <w:tc>
          <w:tcPr>
            <w:tcW w:w="0" w:type="auto"/>
            <w:tcBorders>
              <w:top w:val="single" w:sz="8" w:space="0" w:color="333333"/>
              <w:bottom w:val="single" w:sz="8" w:space="0" w:color="333333"/>
            </w:tcBorders>
            <w:shd w:val="clear" w:color="auto" w:fill="auto"/>
            <w:vAlign w:val="bottom"/>
          </w:tcPr>
          <w:p w14:paraId="3750DB69" w14:textId="77777777" w:rsidR="002541AD" w:rsidRDefault="002541AD">
            <w:pPr>
              <w:textAlignment w:val="bottom"/>
              <w:rPr>
                <w:rFonts w:ascii="Times New Roman" w:hAnsi="Times New Roman"/>
                <w:sz w:val="20"/>
                <w:szCs w:val="20"/>
              </w:rPr>
            </w:pPr>
          </w:p>
        </w:tc>
      </w:tr>
      <w:tr w:rsidR="002541AD" w14:paraId="3750DB72" w14:textId="77777777">
        <w:trPr>
          <w:jc w:val="center"/>
        </w:trPr>
        <w:tc>
          <w:tcPr>
            <w:tcW w:w="0" w:type="auto"/>
            <w:shd w:val="clear" w:color="auto" w:fill="auto"/>
            <w:tcMar>
              <w:top w:w="40" w:type="dxa"/>
              <w:left w:w="40" w:type="dxa"/>
              <w:bottom w:w="40" w:type="dxa"/>
              <w:right w:w="40" w:type="dxa"/>
            </w:tcMar>
          </w:tcPr>
          <w:p w14:paraId="3750DB6B"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Net cash provided by operating activities</w:t>
            </w:r>
          </w:p>
        </w:tc>
        <w:tc>
          <w:tcPr>
            <w:tcW w:w="0" w:type="auto"/>
            <w:shd w:val="clear" w:color="auto" w:fill="auto"/>
            <w:tcMar>
              <w:top w:w="40" w:type="dxa"/>
              <w:left w:w="40" w:type="dxa"/>
              <w:bottom w:w="40" w:type="dxa"/>
              <w:right w:w="40" w:type="dxa"/>
            </w:tcMar>
            <w:vAlign w:val="bottom"/>
          </w:tcPr>
          <w:p w14:paraId="3750DB6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DB6D"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6,158</w:t>
            </w:r>
          </w:p>
        </w:tc>
        <w:tc>
          <w:tcPr>
            <w:tcW w:w="0" w:type="auto"/>
            <w:tcBorders>
              <w:top w:val="single" w:sz="8" w:space="0" w:color="333333"/>
              <w:bottom w:val="single" w:sz="8" w:space="0" w:color="333333"/>
            </w:tcBorders>
            <w:shd w:val="clear" w:color="auto" w:fill="auto"/>
            <w:vAlign w:val="bottom"/>
          </w:tcPr>
          <w:p w14:paraId="3750DB6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B6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DB70"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4,959</w:t>
            </w:r>
          </w:p>
        </w:tc>
        <w:tc>
          <w:tcPr>
            <w:tcW w:w="0" w:type="auto"/>
            <w:tcBorders>
              <w:top w:val="single" w:sz="8" w:space="0" w:color="333333"/>
              <w:bottom w:val="single" w:sz="8" w:space="0" w:color="333333"/>
            </w:tcBorders>
            <w:shd w:val="clear" w:color="auto" w:fill="auto"/>
            <w:vAlign w:val="bottom"/>
          </w:tcPr>
          <w:p w14:paraId="3750DB71" w14:textId="77777777" w:rsidR="002541AD" w:rsidRDefault="002541AD">
            <w:pPr>
              <w:textAlignment w:val="bottom"/>
              <w:rPr>
                <w:rFonts w:ascii="Times New Roman" w:hAnsi="Times New Roman"/>
                <w:sz w:val="20"/>
                <w:szCs w:val="20"/>
              </w:rPr>
            </w:pPr>
          </w:p>
        </w:tc>
      </w:tr>
      <w:tr w:rsidR="002541AD" w14:paraId="3750DB78" w14:textId="77777777">
        <w:trPr>
          <w:jc w:val="center"/>
        </w:trPr>
        <w:tc>
          <w:tcPr>
            <w:tcW w:w="0" w:type="auto"/>
            <w:shd w:val="clear" w:color="auto" w:fill="auto"/>
            <w:tcMar>
              <w:top w:w="40" w:type="dxa"/>
              <w:left w:w="40" w:type="dxa"/>
              <w:bottom w:w="40" w:type="dxa"/>
              <w:right w:w="40" w:type="dxa"/>
            </w:tcMar>
          </w:tcPr>
          <w:p w14:paraId="3750DB73"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Cash flows provided by (used for) investing activities:</w:t>
            </w:r>
          </w:p>
        </w:tc>
        <w:tc>
          <w:tcPr>
            <w:tcW w:w="0" w:type="auto"/>
            <w:shd w:val="clear" w:color="auto" w:fill="auto"/>
            <w:tcMar>
              <w:top w:w="40" w:type="dxa"/>
              <w:left w:w="40" w:type="dxa"/>
              <w:bottom w:w="40" w:type="dxa"/>
              <w:right w:w="40" w:type="dxa"/>
            </w:tcMar>
            <w:vAlign w:val="bottom"/>
          </w:tcPr>
          <w:p w14:paraId="3750DB7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B7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B7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B7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B80" w14:textId="77777777">
        <w:trPr>
          <w:jc w:val="center"/>
        </w:trPr>
        <w:tc>
          <w:tcPr>
            <w:tcW w:w="0" w:type="auto"/>
            <w:shd w:val="clear" w:color="auto" w:fill="auto"/>
            <w:tcMar>
              <w:top w:w="40" w:type="dxa"/>
              <w:left w:w="240" w:type="dxa"/>
              <w:bottom w:w="40" w:type="dxa"/>
              <w:right w:w="40" w:type="dxa"/>
            </w:tcMar>
          </w:tcPr>
          <w:p w14:paraId="3750DB79"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Additions to property, plant and equipment</w:t>
            </w:r>
          </w:p>
        </w:tc>
        <w:tc>
          <w:tcPr>
            <w:tcW w:w="0" w:type="auto"/>
            <w:shd w:val="clear" w:color="auto" w:fill="auto"/>
            <w:tcMar>
              <w:top w:w="40" w:type="dxa"/>
              <w:left w:w="40" w:type="dxa"/>
              <w:bottom w:w="40" w:type="dxa"/>
              <w:right w:w="40" w:type="dxa"/>
            </w:tcMar>
            <w:vAlign w:val="bottom"/>
          </w:tcPr>
          <w:p w14:paraId="3750DB7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7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(3,268</w:t>
            </w:r>
          </w:p>
        </w:tc>
        <w:tc>
          <w:tcPr>
            <w:tcW w:w="0" w:type="auto"/>
            <w:shd w:val="clear" w:color="auto" w:fill="auto"/>
            <w:tcMar>
              <w:top w:w="40" w:type="dxa"/>
              <w:bottom w:w="40" w:type="dxa"/>
              <w:right w:w="40" w:type="dxa"/>
            </w:tcMar>
            <w:vAlign w:val="bottom"/>
          </w:tcPr>
          <w:p w14:paraId="3750DB7C"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B7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7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(3,321</w:t>
            </w:r>
          </w:p>
        </w:tc>
        <w:tc>
          <w:tcPr>
            <w:tcW w:w="0" w:type="auto"/>
            <w:shd w:val="clear" w:color="auto" w:fill="auto"/>
            <w:tcMar>
              <w:top w:w="40" w:type="dxa"/>
              <w:bottom w:w="40" w:type="dxa"/>
              <w:right w:w="40" w:type="dxa"/>
            </w:tcMar>
            <w:vAlign w:val="bottom"/>
          </w:tcPr>
          <w:p w14:paraId="3750DB7F"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DB88" w14:textId="77777777">
        <w:trPr>
          <w:jc w:val="center"/>
        </w:trPr>
        <w:tc>
          <w:tcPr>
            <w:tcW w:w="0" w:type="auto"/>
            <w:shd w:val="clear" w:color="auto" w:fill="auto"/>
            <w:tcMar>
              <w:top w:w="40" w:type="dxa"/>
              <w:left w:w="240" w:type="dxa"/>
              <w:bottom w:w="40" w:type="dxa"/>
              <w:right w:w="40" w:type="dxa"/>
            </w:tcMar>
          </w:tcPr>
          <w:p w14:paraId="3750DB81"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Purchases of available-for-sale debt investments</w:t>
            </w:r>
          </w:p>
        </w:tc>
        <w:tc>
          <w:tcPr>
            <w:tcW w:w="0" w:type="auto"/>
            <w:shd w:val="clear" w:color="auto" w:fill="auto"/>
            <w:tcMar>
              <w:top w:w="40" w:type="dxa"/>
              <w:left w:w="40" w:type="dxa"/>
              <w:bottom w:w="40" w:type="dxa"/>
              <w:right w:w="40" w:type="dxa"/>
            </w:tcMar>
            <w:vAlign w:val="bottom"/>
          </w:tcPr>
          <w:p w14:paraId="3750DB8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8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(513</w:t>
            </w:r>
          </w:p>
        </w:tc>
        <w:tc>
          <w:tcPr>
            <w:tcW w:w="0" w:type="auto"/>
            <w:shd w:val="clear" w:color="auto" w:fill="auto"/>
            <w:tcMar>
              <w:top w:w="40" w:type="dxa"/>
              <w:bottom w:w="40" w:type="dxa"/>
              <w:right w:w="40" w:type="dxa"/>
            </w:tcMar>
            <w:vAlign w:val="bottom"/>
          </w:tcPr>
          <w:p w14:paraId="3750DB84"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B8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8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(872</w:t>
            </w:r>
          </w:p>
        </w:tc>
        <w:tc>
          <w:tcPr>
            <w:tcW w:w="0" w:type="auto"/>
            <w:shd w:val="clear" w:color="auto" w:fill="auto"/>
            <w:tcMar>
              <w:top w:w="40" w:type="dxa"/>
              <w:bottom w:w="40" w:type="dxa"/>
              <w:right w:w="40" w:type="dxa"/>
            </w:tcMar>
            <w:vAlign w:val="bottom"/>
          </w:tcPr>
          <w:p w14:paraId="3750DB87"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DB90" w14:textId="77777777">
        <w:trPr>
          <w:jc w:val="center"/>
        </w:trPr>
        <w:tc>
          <w:tcPr>
            <w:tcW w:w="0" w:type="auto"/>
            <w:shd w:val="clear" w:color="auto" w:fill="auto"/>
            <w:tcMar>
              <w:top w:w="40" w:type="dxa"/>
              <w:left w:w="240" w:type="dxa"/>
              <w:bottom w:w="40" w:type="dxa"/>
              <w:right w:w="40" w:type="dxa"/>
            </w:tcMar>
          </w:tcPr>
          <w:p w14:paraId="3750DB89"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Maturities and sales of available-for-sale debt investments</w:t>
            </w:r>
          </w:p>
        </w:tc>
        <w:tc>
          <w:tcPr>
            <w:tcW w:w="0" w:type="auto"/>
            <w:shd w:val="clear" w:color="auto" w:fill="auto"/>
            <w:tcMar>
              <w:top w:w="40" w:type="dxa"/>
              <w:left w:w="40" w:type="dxa"/>
              <w:bottom w:w="40" w:type="dxa"/>
              <w:right w:w="40" w:type="dxa"/>
            </w:tcMar>
            <w:vAlign w:val="bottom"/>
          </w:tcPr>
          <w:p w14:paraId="3750DB8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8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625</w:t>
            </w:r>
          </w:p>
        </w:tc>
        <w:tc>
          <w:tcPr>
            <w:tcW w:w="0" w:type="auto"/>
            <w:shd w:val="clear" w:color="auto" w:fill="auto"/>
            <w:vAlign w:val="bottom"/>
          </w:tcPr>
          <w:p w14:paraId="3750DB8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B8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8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948</w:t>
            </w:r>
          </w:p>
        </w:tc>
        <w:tc>
          <w:tcPr>
            <w:tcW w:w="0" w:type="auto"/>
            <w:shd w:val="clear" w:color="auto" w:fill="auto"/>
            <w:vAlign w:val="bottom"/>
          </w:tcPr>
          <w:p w14:paraId="3750DB8F" w14:textId="77777777" w:rsidR="002541AD" w:rsidRDefault="002541AD">
            <w:pPr>
              <w:textAlignment w:val="bottom"/>
              <w:rPr>
                <w:rFonts w:ascii="Times New Roman" w:hAnsi="Times New Roman"/>
                <w:sz w:val="20"/>
                <w:szCs w:val="20"/>
              </w:rPr>
            </w:pPr>
          </w:p>
        </w:tc>
      </w:tr>
      <w:tr w:rsidR="002541AD" w14:paraId="3750DB98" w14:textId="77777777">
        <w:trPr>
          <w:jc w:val="center"/>
        </w:trPr>
        <w:tc>
          <w:tcPr>
            <w:tcW w:w="0" w:type="auto"/>
            <w:shd w:val="clear" w:color="auto" w:fill="auto"/>
            <w:tcMar>
              <w:top w:w="40" w:type="dxa"/>
              <w:left w:w="240" w:type="dxa"/>
              <w:bottom w:w="40" w:type="dxa"/>
              <w:right w:w="40" w:type="dxa"/>
            </w:tcMar>
          </w:tcPr>
          <w:p w14:paraId="3750DB91"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Purchases of trading assets</w:t>
            </w:r>
          </w:p>
        </w:tc>
        <w:tc>
          <w:tcPr>
            <w:tcW w:w="0" w:type="auto"/>
            <w:shd w:val="clear" w:color="auto" w:fill="auto"/>
            <w:tcMar>
              <w:top w:w="40" w:type="dxa"/>
              <w:left w:w="40" w:type="dxa"/>
              <w:bottom w:w="40" w:type="dxa"/>
              <w:right w:w="40" w:type="dxa"/>
            </w:tcMar>
            <w:vAlign w:val="bottom"/>
          </w:tcPr>
          <w:p w14:paraId="3750DB9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9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(3,897</w:t>
            </w:r>
          </w:p>
        </w:tc>
        <w:tc>
          <w:tcPr>
            <w:tcW w:w="0" w:type="auto"/>
            <w:shd w:val="clear" w:color="auto" w:fill="auto"/>
            <w:tcMar>
              <w:top w:w="40" w:type="dxa"/>
              <w:bottom w:w="40" w:type="dxa"/>
              <w:right w:w="40" w:type="dxa"/>
            </w:tcMar>
            <w:vAlign w:val="bottom"/>
          </w:tcPr>
          <w:p w14:paraId="3750DB94"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B9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9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(1,869</w:t>
            </w:r>
          </w:p>
        </w:tc>
        <w:tc>
          <w:tcPr>
            <w:tcW w:w="0" w:type="auto"/>
            <w:shd w:val="clear" w:color="auto" w:fill="auto"/>
            <w:tcMar>
              <w:top w:w="40" w:type="dxa"/>
              <w:bottom w:w="40" w:type="dxa"/>
              <w:right w:w="40" w:type="dxa"/>
            </w:tcMar>
            <w:vAlign w:val="bottom"/>
          </w:tcPr>
          <w:p w14:paraId="3750DB97"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DBA0" w14:textId="77777777">
        <w:trPr>
          <w:jc w:val="center"/>
        </w:trPr>
        <w:tc>
          <w:tcPr>
            <w:tcW w:w="0" w:type="auto"/>
            <w:shd w:val="clear" w:color="auto" w:fill="auto"/>
            <w:tcMar>
              <w:top w:w="40" w:type="dxa"/>
              <w:left w:w="240" w:type="dxa"/>
              <w:bottom w:w="40" w:type="dxa"/>
              <w:right w:w="40" w:type="dxa"/>
            </w:tcMar>
          </w:tcPr>
          <w:p w14:paraId="3750DB99"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Maturities and sales of trading assets</w:t>
            </w:r>
          </w:p>
        </w:tc>
        <w:tc>
          <w:tcPr>
            <w:tcW w:w="0" w:type="auto"/>
            <w:shd w:val="clear" w:color="auto" w:fill="auto"/>
            <w:tcMar>
              <w:top w:w="40" w:type="dxa"/>
              <w:left w:w="40" w:type="dxa"/>
              <w:bottom w:w="40" w:type="dxa"/>
              <w:right w:w="40" w:type="dxa"/>
            </w:tcMar>
            <w:vAlign w:val="bottom"/>
          </w:tcPr>
          <w:p w14:paraId="3750DB9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9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3,660</w:t>
            </w:r>
          </w:p>
        </w:tc>
        <w:tc>
          <w:tcPr>
            <w:tcW w:w="0" w:type="auto"/>
            <w:shd w:val="clear" w:color="auto" w:fill="auto"/>
            <w:vAlign w:val="bottom"/>
          </w:tcPr>
          <w:p w14:paraId="3750DB9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B9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9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1,554</w:t>
            </w:r>
          </w:p>
        </w:tc>
        <w:tc>
          <w:tcPr>
            <w:tcW w:w="0" w:type="auto"/>
            <w:shd w:val="clear" w:color="auto" w:fill="auto"/>
            <w:vAlign w:val="bottom"/>
          </w:tcPr>
          <w:p w14:paraId="3750DB9F" w14:textId="77777777" w:rsidR="002541AD" w:rsidRDefault="002541AD">
            <w:pPr>
              <w:textAlignment w:val="bottom"/>
              <w:rPr>
                <w:rFonts w:ascii="Times New Roman" w:hAnsi="Times New Roman"/>
                <w:sz w:val="20"/>
                <w:szCs w:val="20"/>
              </w:rPr>
            </w:pPr>
          </w:p>
        </w:tc>
      </w:tr>
      <w:tr w:rsidR="002541AD" w14:paraId="3750DBA8" w14:textId="77777777">
        <w:trPr>
          <w:jc w:val="center"/>
        </w:trPr>
        <w:tc>
          <w:tcPr>
            <w:tcW w:w="0" w:type="auto"/>
            <w:shd w:val="clear" w:color="auto" w:fill="auto"/>
            <w:tcMar>
              <w:top w:w="40" w:type="dxa"/>
              <w:left w:w="240" w:type="dxa"/>
              <w:bottom w:w="40" w:type="dxa"/>
              <w:right w:w="40" w:type="dxa"/>
            </w:tcMar>
          </w:tcPr>
          <w:p w14:paraId="3750DBA1"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Sales of equity investments</w:t>
            </w:r>
          </w:p>
        </w:tc>
        <w:tc>
          <w:tcPr>
            <w:tcW w:w="0" w:type="auto"/>
            <w:shd w:val="clear" w:color="auto" w:fill="auto"/>
            <w:tcMar>
              <w:top w:w="40" w:type="dxa"/>
              <w:left w:w="40" w:type="dxa"/>
              <w:bottom w:w="40" w:type="dxa"/>
              <w:right w:w="40" w:type="dxa"/>
            </w:tcMar>
            <w:vAlign w:val="bottom"/>
          </w:tcPr>
          <w:p w14:paraId="3750DBA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A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20</w:t>
            </w:r>
          </w:p>
        </w:tc>
        <w:tc>
          <w:tcPr>
            <w:tcW w:w="0" w:type="auto"/>
            <w:shd w:val="clear" w:color="auto" w:fill="auto"/>
            <w:vAlign w:val="bottom"/>
          </w:tcPr>
          <w:p w14:paraId="3750DBA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BA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A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1,077</w:t>
            </w:r>
          </w:p>
        </w:tc>
        <w:tc>
          <w:tcPr>
            <w:tcW w:w="0" w:type="auto"/>
            <w:shd w:val="clear" w:color="auto" w:fill="auto"/>
            <w:vAlign w:val="bottom"/>
          </w:tcPr>
          <w:p w14:paraId="3750DBA7" w14:textId="77777777" w:rsidR="002541AD" w:rsidRDefault="002541AD">
            <w:pPr>
              <w:textAlignment w:val="bottom"/>
              <w:rPr>
                <w:rFonts w:ascii="Times New Roman" w:hAnsi="Times New Roman"/>
                <w:sz w:val="20"/>
                <w:szCs w:val="20"/>
              </w:rPr>
            </w:pPr>
          </w:p>
        </w:tc>
      </w:tr>
      <w:tr w:rsidR="002541AD" w14:paraId="3750DBB0" w14:textId="77777777">
        <w:trPr>
          <w:jc w:val="center"/>
        </w:trPr>
        <w:tc>
          <w:tcPr>
            <w:tcW w:w="0" w:type="auto"/>
            <w:shd w:val="clear" w:color="auto" w:fill="auto"/>
            <w:tcMar>
              <w:top w:w="40" w:type="dxa"/>
              <w:left w:w="240" w:type="dxa"/>
              <w:bottom w:w="40" w:type="dxa"/>
              <w:right w:w="40" w:type="dxa"/>
            </w:tcMar>
          </w:tcPr>
          <w:p w14:paraId="3750DBA9"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Other investing</w:t>
            </w:r>
          </w:p>
        </w:tc>
        <w:tc>
          <w:tcPr>
            <w:tcW w:w="0" w:type="auto"/>
            <w:shd w:val="clear" w:color="auto" w:fill="auto"/>
            <w:tcMar>
              <w:top w:w="40" w:type="dxa"/>
              <w:left w:w="40" w:type="dxa"/>
              <w:bottom w:w="40" w:type="dxa"/>
              <w:right w:w="40" w:type="dxa"/>
            </w:tcMar>
            <w:vAlign w:val="bottom"/>
          </w:tcPr>
          <w:p w14:paraId="3750DBA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A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(363</w:t>
            </w:r>
          </w:p>
        </w:tc>
        <w:tc>
          <w:tcPr>
            <w:tcW w:w="0" w:type="auto"/>
            <w:shd w:val="clear" w:color="auto" w:fill="auto"/>
            <w:tcMar>
              <w:top w:w="40" w:type="dxa"/>
              <w:bottom w:w="40" w:type="dxa"/>
              <w:right w:w="40" w:type="dxa"/>
            </w:tcMar>
            <w:vAlign w:val="bottom"/>
          </w:tcPr>
          <w:p w14:paraId="3750DBAC"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BA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A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(239</w:t>
            </w:r>
          </w:p>
        </w:tc>
        <w:tc>
          <w:tcPr>
            <w:tcW w:w="0" w:type="auto"/>
            <w:shd w:val="clear" w:color="auto" w:fill="auto"/>
            <w:tcMar>
              <w:top w:w="40" w:type="dxa"/>
              <w:bottom w:w="40" w:type="dxa"/>
              <w:right w:w="40" w:type="dxa"/>
            </w:tcMar>
            <w:vAlign w:val="bottom"/>
          </w:tcPr>
          <w:p w14:paraId="3750DBAF"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DBB8" w14:textId="77777777">
        <w:trPr>
          <w:jc w:val="center"/>
        </w:trPr>
        <w:tc>
          <w:tcPr>
            <w:tcW w:w="0" w:type="auto"/>
            <w:shd w:val="clear" w:color="auto" w:fill="auto"/>
            <w:tcMar>
              <w:top w:w="40" w:type="dxa"/>
              <w:left w:w="40" w:type="dxa"/>
              <w:bottom w:w="40" w:type="dxa"/>
              <w:right w:w="40" w:type="dxa"/>
            </w:tcMar>
          </w:tcPr>
          <w:p w14:paraId="3750DBB1"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Net cash used for investing activities</w:t>
            </w:r>
          </w:p>
        </w:tc>
        <w:tc>
          <w:tcPr>
            <w:tcW w:w="0" w:type="auto"/>
            <w:shd w:val="clear" w:color="auto" w:fill="auto"/>
            <w:tcMar>
              <w:top w:w="40" w:type="dxa"/>
              <w:left w:w="40" w:type="dxa"/>
              <w:bottom w:w="40" w:type="dxa"/>
              <w:right w:w="40" w:type="dxa"/>
            </w:tcMar>
            <w:vAlign w:val="bottom"/>
          </w:tcPr>
          <w:p w14:paraId="3750DBB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DBB3"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(3,736</w:t>
            </w:r>
          </w:p>
        </w:tc>
        <w:tc>
          <w:tcPr>
            <w:tcW w:w="0" w:type="auto"/>
            <w:tcBorders>
              <w:top w:val="single" w:sz="8" w:space="0" w:color="333333"/>
              <w:bottom w:val="single" w:sz="8" w:space="0" w:color="333333"/>
            </w:tcBorders>
            <w:shd w:val="clear" w:color="auto" w:fill="auto"/>
            <w:tcMar>
              <w:top w:w="40" w:type="dxa"/>
              <w:bottom w:w="40" w:type="dxa"/>
              <w:right w:w="40" w:type="dxa"/>
            </w:tcMar>
            <w:vAlign w:val="bottom"/>
          </w:tcPr>
          <w:p w14:paraId="3750DBB4"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3750DBB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DBB6"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(2,722</w:t>
            </w:r>
          </w:p>
        </w:tc>
        <w:tc>
          <w:tcPr>
            <w:tcW w:w="0" w:type="auto"/>
            <w:tcBorders>
              <w:top w:val="single" w:sz="8" w:space="0" w:color="333333"/>
              <w:bottom w:val="single" w:sz="8" w:space="0" w:color="333333"/>
            </w:tcBorders>
            <w:shd w:val="clear" w:color="auto" w:fill="auto"/>
            <w:tcMar>
              <w:top w:w="40" w:type="dxa"/>
              <w:bottom w:w="40" w:type="dxa"/>
              <w:right w:w="40" w:type="dxa"/>
            </w:tcMar>
            <w:vAlign w:val="bottom"/>
          </w:tcPr>
          <w:p w14:paraId="3750DBB7"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r>
      <w:tr w:rsidR="002541AD" w14:paraId="3750DBBE" w14:textId="77777777">
        <w:trPr>
          <w:jc w:val="center"/>
        </w:trPr>
        <w:tc>
          <w:tcPr>
            <w:tcW w:w="0" w:type="auto"/>
            <w:shd w:val="clear" w:color="auto" w:fill="auto"/>
            <w:tcMar>
              <w:top w:w="40" w:type="dxa"/>
              <w:left w:w="40" w:type="dxa"/>
              <w:bottom w:w="40" w:type="dxa"/>
              <w:right w:w="40" w:type="dxa"/>
            </w:tcMar>
          </w:tcPr>
          <w:p w14:paraId="3750DBB9"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 xml:space="preserve">Cash flows provided by (used for) </w:t>
            </w:r>
            <w:r>
              <w:rPr>
                <w:rFonts w:ascii="Arial" w:eastAsia="宋体" w:hAnsi="Arial" w:cs="Arial"/>
                <w:color w:val="333333"/>
                <w:sz w:val="18"/>
                <w:szCs w:val="18"/>
              </w:rPr>
              <w:t>financing activities:</w:t>
            </w:r>
          </w:p>
        </w:tc>
        <w:tc>
          <w:tcPr>
            <w:tcW w:w="0" w:type="auto"/>
            <w:shd w:val="clear" w:color="auto" w:fill="auto"/>
            <w:tcMar>
              <w:top w:w="40" w:type="dxa"/>
              <w:left w:w="40" w:type="dxa"/>
              <w:bottom w:w="40" w:type="dxa"/>
              <w:right w:w="40" w:type="dxa"/>
            </w:tcMar>
            <w:vAlign w:val="bottom"/>
          </w:tcPr>
          <w:p w14:paraId="3750DBB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BB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BB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BB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BC6" w14:textId="77777777">
        <w:trPr>
          <w:jc w:val="center"/>
        </w:trPr>
        <w:tc>
          <w:tcPr>
            <w:tcW w:w="0" w:type="auto"/>
            <w:shd w:val="clear" w:color="auto" w:fill="auto"/>
            <w:tcMar>
              <w:top w:w="40" w:type="dxa"/>
              <w:left w:w="240" w:type="dxa"/>
              <w:bottom w:w="40" w:type="dxa"/>
              <w:right w:w="40" w:type="dxa"/>
            </w:tcMar>
          </w:tcPr>
          <w:p w14:paraId="3750DBBF"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Increase (decrease) in short-term debt, net</w:t>
            </w:r>
          </w:p>
        </w:tc>
        <w:tc>
          <w:tcPr>
            <w:tcW w:w="0" w:type="auto"/>
            <w:shd w:val="clear" w:color="auto" w:fill="auto"/>
            <w:tcMar>
              <w:top w:w="40" w:type="dxa"/>
              <w:left w:w="40" w:type="dxa"/>
              <w:bottom w:w="40" w:type="dxa"/>
              <w:right w:w="40" w:type="dxa"/>
            </w:tcMar>
            <w:vAlign w:val="bottom"/>
          </w:tcPr>
          <w:p w14:paraId="3750DBC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C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BC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BC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C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1,682</w:t>
            </w:r>
          </w:p>
        </w:tc>
        <w:tc>
          <w:tcPr>
            <w:tcW w:w="0" w:type="auto"/>
            <w:shd w:val="clear" w:color="auto" w:fill="auto"/>
            <w:vAlign w:val="bottom"/>
          </w:tcPr>
          <w:p w14:paraId="3750DBC5" w14:textId="77777777" w:rsidR="002541AD" w:rsidRDefault="002541AD">
            <w:pPr>
              <w:textAlignment w:val="bottom"/>
              <w:rPr>
                <w:rFonts w:ascii="Times New Roman" w:hAnsi="Times New Roman"/>
                <w:sz w:val="20"/>
                <w:szCs w:val="20"/>
              </w:rPr>
            </w:pPr>
          </w:p>
        </w:tc>
      </w:tr>
      <w:tr w:rsidR="002541AD" w14:paraId="3750DBCE" w14:textId="77777777">
        <w:trPr>
          <w:jc w:val="center"/>
        </w:trPr>
        <w:tc>
          <w:tcPr>
            <w:tcW w:w="0" w:type="auto"/>
            <w:shd w:val="clear" w:color="auto" w:fill="auto"/>
            <w:tcMar>
              <w:top w:w="40" w:type="dxa"/>
              <w:left w:w="240" w:type="dxa"/>
              <w:bottom w:w="40" w:type="dxa"/>
              <w:right w:w="40" w:type="dxa"/>
            </w:tcMar>
          </w:tcPr>
          <w:p w14:paraId="3750DBC7"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Issuance of long-term debt, net of issuance costs</w:t>
            </w:r>
          </w:p>
        </w:tc>
        <w:tc>
          <w:tcPr>
            <w:tcW w:w="0" w:type="auto"/>
            <w:shd w:val="clear" w:color="auto" w:fill="auto"/>
            <w:tcMar>
              <w:top w:w="40" w:type="dxa"/>
              <w:left w:w="40" w:type="dxa"/>
              <w:bottom w:w="40" w:type="dxa"/>
              <w:right w:w="40" w:type="dxa"/>
            </w:tcMar>
            <w:vAlign w:val="bottom"/>
          </w:tcPr>
          <w:p w14:paraId="3750DBC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C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10,247</w:t>
            </w:r>
          </w:p>
        </w:tc>
        <w:tc>
          <w:tcPr>
            <w:tcW w:w="0" w:type="auto"/>
            <w:shd w:val="clear" w:color="auto" w:fill="auto"/>
            <w:vAlign w:val="bottom"/>
          </w:tcPr>
          <w:p w14:paraId="3750DBC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BC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C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135</w:t>
            </w:r>
          </w:p>
        </w:tc>
        <w:tc>
          <w:tcPr>
            <w:tcW w:w="0" w:type="auto"/>
            <w:shd w:val="clear" w:color="auto" w:fill="auto"/>
            <w:vAlign w:val="bottom"/>
          </w:tcPr>
          <w:p w14:paraId="3750DBCD" w14:textId="77777777" w:rsidR="002541AD" w:rsidRDefault="002541AD">
            <w:pPr>
              <w:textAlignment w:val="bottom"/>
              <w:rPr>
                <w:rFonts w:ascii="Times New Roman" w:hAnsi="Times New Roman"/>
                <w:sz w:val="20"/>
                <w:szCs w:val="20"/>
              </w:rPr>
            </w:pPr>
          </w:p>
        </w:tc>
      </w:tr>
      <w:tr w:rsidR="002541AD" w14:paraId="3750DBD6" w14:textId="77777777">
        <w:trPr>
          <w:jc w:val="center"/>
        </w:trPr>
        <w:tc>
          <w:tcPr>
            <w:tcW w:w="0" w:type="auto"/>
            <w:shd w:val="clear" w:color="auto" w:fill="auto"/>
            <w:tcMar>
              <w:top w:w="40" w:type="dxa"/>
              <w:left w:w="240" w:type="dxa"/>
              <w:bottom w:w="40" w:type="dxa"/>
              <w:right w:w="40" w:type="dxa"/>
            </w:tcMar>
          </w:tcPr>
          <w:p w14:paraId="3750DBCF"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Repayment of debt and debt conversion</w:t>
            </w:r>
          </w:p>
        </w:tc>
        <w:tc>
          <w:tcPr>
            <w:tcW w:w="0" w:type="auto"/>
            <w:shd w:val="clear" w:color="auto" w:fill="auto"/>
            <w:tcMar>
              <w:top w:w="40" w:type="dxa"/>
              <w:left w:w="40" w:type="dxa"/>
              <w:bottom w:w="40" w:type="dxa"/>
              <w:right w:w="40" w:type="dxa"/>
            </w:tcMar>
            <w:vAlign w:val="bottom"/>
          </w:tcPr>
          <w:p w14:paraId="3750DBD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D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(1,075</w:t>
            </w:r>
          </w:p>
        </w:tc>
        <w:tc>
          <w:tcPr>
            <w:tcW w:w="0" w:type="auto"/>
            <w:shd w:val="clear" w:color="auto" w:fill="auto"/>
            <w:tcMar>
              <w:top w:w="40" w:type="dxa"/>
              <w:bottom w:w="40" w:type="dxa"/>
              <w:right w:w="40" w:type="dxa"/>
            </w:tcMar>
            <w:vAlign w:val="bottom"/>
          </w:tcPr>
          <w:p w14:paraId="3750DBD2"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BD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D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(861</w:t>
            </w:r>
          </w:p>
        </w:tc>
        <w:tc>
          <w:tcPr>
            <w:tcW w:w="0" w:type="auto"/>
            <w:shd w:val="clear" w:color="auto" w:fill="auto"/>
            <w:tcMar>
              <w:top w:w="40" w:type="dxa"/>
              <w:bottom w:w="40" w:type="dxa"/>
              <w:right w:w="40" w:type="dxa"/>
            </w:tcMar>
            <w:vAlign w:val="bottom"/>
          </w:tcPr>
          <w:p w14:paraId="3750DBD5"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DBDE" w14:textId="77777777">
        <w:trPr>
          <w:jc w:val="center"/>
        </w:trPr>
        <w:tc>
          <w:tcPr>
            <w:tcW w:w="0" w:type="auto"/>
            <w:shd w:val="clear" w:color="auto" w:fill="auto"/>
            <w:tcMar>
              <w:top w:w="40" w:type="dxa"/>
              <w:left w:w="240" w:type="dxa"/>
              <w:bottom w:w="40" w:type="dxa"/>
              <w:right w:w="40" w:type="dxa"/>
            </w:tcMar>
          </w:tcPr>
          <w:p w14:paraId="3750DBD7"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 xml:space="preserve">Proceeds from sales of common </w:t>
            </w:r>
            <w:r>
              <w:rPr>
                <w:rFonts w:ascii="Arial" w:eastAsia="宋体" w:hAnsi="Arial" w:cs="Arial"/>
                <w:color w:val="333333"/>
                <w:sz w:val="18"/>
                <w:szCs w:val="18"/>
              </w:rPr>
              <w:t>stock through employee equity incentive plans</w:t>
            </w:r>
          </w:p>
        </w:tc>
        <w:tc>
          <w:tcPr>
            <w:tcW w:w="0" w:type="auto"/>
            <w:shd w:val="clear" w:color="auto" w:fill="auto"/>
            <w:tcMar>
              <w:top w:w="40" w:type="dxa"/>
              <w:left w:w="40" w:type="dxa"/>
              <w:bottom w:w="40" w:type="dxa"/>
              <w:right w:w="40" w:type="dxa"/>
            </w:tcMar>
            <w:vAlign w:val="bottom"/>
          </w:tcPr>
          <w:p w14:paraId="3750DBD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D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503</w:t>
            </w:r>
          </w:p>
        </w:tc>
        <w:tc>
          <w:tcPr>
            <w:tcW w:w="0" w:type="auto"/>
            <w:shd w:val="clear" w:color="auto" w:fill="auto"/>
            <w:vAlign w:val="bottom"/>
          </w:tcPr>
          <w:p w14:paraId="3750DBD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BD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D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290</w:t>
            </w:r>
          </w:p>
        </w:tc>
        <w:tc>
          <w:tcPr>
            <w:tcW w:w="0" w:type="auto"/>
            <w:shd w:val="clear" w:color="auto" w:fill="auto"/>
            <w:vAlign w:val="bottom"/>
          </w:tcPr>
          <w:p w14:paraId="3750DBDD" w14:textId="77777777" w:rsidR="002541AD" w:rsidRDefault="002541AD">
            <w:pPr>
              <w:textAlignment w:val="bottom"/>
              <w:rPr>
                <w:rFonts w:ascii="Times New Roman" w:hAnsi="Times New Roman"/>
                <w:sz w:val="20"/>
                <w:szCs w:val="20"/>
              </w:rPr>
            </w:pPr>
          </w:p>
        </w:tc>
      </w:tr>
      <w:tr w:rsidR="002541AD" w14:paraId="3750DBE6" w14:textId="77777777">
        <w:trPr>
          <w:jc w:val="center"/>
        </w:trPr>
        <w:tc>
          <w:tcPr>
            <w:tcW w:w="0" w:type="auto"/>
            <w:shd w:val="clear" w:color="auto" w:fill="auto"/>
            <w:tcMar>
              <w:top w:w="40" w:type="dxa"/>
              <w:left w:w="240" w:type="dxa"/>
              <w:bottom w:w="40" w:type="dxa"/>
              <w:right w:w="40" w:type="dxa"/>
            </w:tcMar>
          </w:tcPr>
          <w:p w14:paraId="3750DBDF"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Repurchase of common stock</w:t>
            </w:r>
          </w:p>
        </w:tc>
        <w:tc>
          <w:tcPr>
            <w:tcW w:w="0" w:type="auto"/>
            <w:shd w:val="clear" w:color="auto" w:fill="auto"/>
            <w:tcMar>
              <w:top w:w="40" w:type="dxa"/>
              <w:left w:w="40" w:type="dxa"/>
              <w:bottom w:w="40" w:type="dxa"/>
              <w:right w:w="40" w:type="dxa"/>
            </w:tcMar>
            <w:vAlign w:val="bottom"/>
          </w:tcPr>
          <w:p w14:paraId="3750DBE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E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(4,229</w:t>
            </w:r>
          </w:p>
        </w:tc>
        <w:tc>
          <w:tcPr>
            <w:tcW w:w="0" w:type="auto"/>
            <w:shd w:val="clear" w:color="auto" w:fill="auto"/>
            <w:tcMar>
              <w:top w:w="40" w:type="dxa"/>
              <w:bottom w:w="40" w:type="dxa"/>
              <w:right w:w="40" w:type="dxa"/>
            </w:tcMar>
            <w:vAlign w:val="bottom"/>
          </w:tcPr>
          <w:p w14:paraId="3750DBE2"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BE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E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(2,530</w:t>
            </w:r>
          </w:p>
        </w:tc>
        <w:tc>
          <w:tcPr>
            <w:tcW w:w="0" w:type="auto"/>
            <w:shd w:val="clear" w:color="auto" w:fill="auto"/>
            <w:tcMar>
              <w:top w:w="40" w:type="dxa"/>
              <w:bottom w:w="40" w:type="dxa"/>
              <w:right w:w="40" w:type="dxa"/>
            </w:tcMar>
            <w:vAlign w:val="bottom"/>
          </w:tcPr>
          <w:p w14:paraId="3750DBE5"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DBEE" w14:textId="77777777">
        <w:trPr>
          <w:jc w:val="center"/>
        </w:trPr>
        <w:tc>
          <w:tcPr>
            <w:tcW w:w="0" w:type="auto"/>
            <w:shd w:val="clear" w:color="auto" w:fill="auto"/>
            <w:tcMar>
              <w:top w:w="40" w:type="dxa"/>
              <w:left w:w="240" w:type="dxa"/>
              <w:bottom w:w="40" w:type="dxa"/>
              <w:right w:w="40" w:type="dxa"/>
            </w:tcMar>
          </w:tcPr>
          <w:p w14:paraId="3750DBE7"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Payment of dividends to stockholders</w:t>
            </w:r>
          </w:p>
        </w:tc>
        <w:tc>
          <w:tcPr>
            <w:tcW w:w="0" w:type="auto"/>
            <w:shd w:val="clear" w:color="auto" w:fill="auto"/>
            <w:tcMar>
              <w:top w:w="40" w:type="dxa"/>
              <w:left w:w="40" w:type="dxa"/>
              <w:bottom w:w="40" w:type="dxa"/>
              <w:right w:w="40" w:type="dxa"/>
            </w:tcMar>
            <w:vAlign w:val="bottom"/>
          </w:tcPr>
          <w:p w14:paraId="3750DBE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E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(1,408</w:t>
            </w:r>
          </w:p>
        </w:tc>
        <w:tc>
          <w:tcPr>
            <w:tcW w:w="0" w:type="auto"/>
            <w:shd w:val="clear" w:color="auto" w:fill="auto"/>
            <w:tcMar>
              <w:top w:w="40" w:type="dxa"/>
              <w:bottom w:w="40" w:type="dxa"/>
              <w:right w:w="40" w:type="dxa"/>
            </w:tcMar>
            <w:vAlign w:val="bottom"/>
          </w:tcPr>
          <w:p w14:paraId="3750DBEA"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BE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E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(1,414</w:t>
            </w:r>
          </w:p>
        </w:tc>
        <w:tc>
          <w:tcPr>
            <w:tcW w:w="0" w:type="auto"/>
            <w:shd w:val="clear" w:color="auto" w:fill="auto"/>
            <w:tcMar>
              <w:top w:w="40" w:type="dxa"/>
              <w:bottom w:w="40" w:type="dxa"/>
              <w:right w:w="40" w:type="dxa"/>
            </w:tcMar>
            <w:vAlign w:val="bottom"/>
          </w:tcPr>
          <w:p w14:paraId="3750DBED"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DBF6" w14:textId="77777777">
        <w:trPr>
          <w:jc w:val="center"/>
        </w:trPr>
        <w:tc>
          <w:tcPr>
            <w:tcW w:w="0" w:type="auto"/>
            <w:shd w:val="clear" w:color="auto" w:fill="auto"/>
            <w:tcMar>
              <w:top w:w="40" w:type="dxa"/>
              <w:left w:w="240" w:type="dxa"/>
              <w:bottom w:w="40" w:type="dxa"/>
              <w:right w:w="40" w:type="dxa"/>
            </w:tcMar>
          </w:tcPr>
          <w:p w14:paraId="3750DBEF"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Other financing</w:t>
            </w:r>
          </w:p>
        </w:tc>
        <w:tc>
          <w:tcPr>
            <w:tcW w:w="0" w:type="auto"/>
            <w:shd w:val="clear" w:color="auto" w:fill="auto"/>
            <w:tcMar>
              <w:top w:w="40" w:type="dxa"/>
              <w:left w:w="40" w:type="dxa"/>
              <w:bottom w:w="40" w:type="dxa"/>
              <w:right w:w="40" w:type="dxa"/>
            </w:tcMar>
            <w:vAlign w:val="bottom"/>
          </w:tcPr>
          <w:p w14:paraId="3750DBF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F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726</w:t>
            </w:r>
          </w:p>
        </w:tc>
        <w:tc>
          <w:tcPr>
            <w:tcW w:w="0" w:type="auto"/>
            <w:shd w:val="clear" w:color="auto" w:fill="auto"/>
            <w:vAlign w:val="bottom"/>
          </w:tcPr>
          <w:p w14:paraId="3750DBF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BF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BF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596</w:t>
            </w:r>
          </w:p>
        </w:tc>
        <w:tc>
          <w:tcPr>
            <w:tcW w:w="0" w:type="auto"/>
            <w:shd w:val="clear" w:color="auto" w:fill="auto"/>
            <w:vAlign w:val="bottom"/>
          </w:tcPr>
          <w:p w14:paraId="3750DBF5" w14:textId="77777777" w:rsidR="002541AD" w:rsidRDefault="002541AD">
            <w:pPr>
              <w:textAlignment w:val="bottom"/>
              <w:rPr>
                <w:rFonts w:ascii="Times New Roman" w:hAnsi="Times New Roman"/>
                <w:sz w:val="20"/>
                <w:szCs w:val="20"/>
              </w:rPr>
            </w:pPr>
          </w:p>
        </w:tc>
      </w:tr>
      <w:tr w:rsidR="002541AD" w14:paraId="3750DBFE" w14:textId="77777777">
        <w:trPr>
          <w:jc w:val="center"/>
        </w:trPr>
        <w:tc>
          <w:tcPr>
            <w:tcW w:w="0" w:type="auto"/>
            <w:shd w:val="clear" w:color="auto" w:fill="auto"/>
            <w:tcMar>
              <w:top w:w="40" w:type="dxa"/>
              <w:left w:w="40" w:type="dxa"/>
              <w:bottom w:w="40" w:type="dxa"/>
              <w:right w:w="40" w:type="dxa"/>
            </w:tcMar>
          </w:tcPr>
          <w:p w14:paraId="3750DBF7"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 xml:space="preserve">Net cash provided by (used for) financing </w:t>
            </w:r>
            <w:r>
              <w:rPr>
                <w:rFonts w:ascii="Arial" w:eastAsia="宋体" w:hAnsi="Arial" w:cs="Arial"/>
                <w:b/>
                <w:bCs/>
                <w:color w:val="333333"/>
                <w:sz w:val="18"/>
                <w:szCs w:val="18"/>
              </w:rPr>
              <w:t>activities</w:t>
            </w:r>
          </w:p>
        </w:tc>
        <w:tc>
          <w:tcPr>
            <w:tcW w:w="0" w:type="auto"/>
            <w:shd w:val="clear" w:color="auto" w:fill="auto"/>
            <w:tcMar>
              <w:top w:w="40" w:type="dxa"/>
              <w:left w:w="40" w:type="dxa"/>
              <w:bottom w:w="40" w:type="dxa"/>
              <w:right w:w="40" w:type="dxa"/>
            </w:tcMar>
            <w:vAlign w:val="bottom"/>
          </w:tcPr>
          <w:p w14:paraId="3750DBF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DBF9"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4,764</w:t>
            </w:r>
          </w:p>
        </w:tc>
        <w:tc>
          <w:tcPr>
            <w:tcW w:w="0" w:type="auto"/>
            <w:tcBorders>
              <w:top w:val="single" w:sz="8" w:space="0" w:color="333333"/>
              <w:bottom w:val="single" w:sz="8" w:space="0" w:color="333333"/>
            </w:tcBorders>
            <w:shd w:val="clear" w:color="auto" w:fill="auto"/>
            <w:vAlign w:val="bottom"/>
          </w:tcPr>
          <w:p w14:paraId="3750DBF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BF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DBFC"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(2,102</w:t>
            </w:r>
          </w:p>
        </w:tc>
        <w:tc>
          <w:tcPr>
            <w:tcW w:w="0" w:type="auto"/>
            <w:tcBorders>
              <w:top w:val="single" w:sz="8" w:space="0" w:color="333333"/>
              <w:bottom w:val="single" w:sz="8" w:space="0" w:color="333333"/>
            </w:tcBorders>
            <w:shd w:val="clear" w:color="auto" w:fill="auto"/>
            <w:tcMar>
              <w:top w:w="40" w:type="dxa"/>
              <w:bottom w:w="40" w:type="dxa"/>
              <w:right w:w="40" w:type="dxa"/>
            </w:tcMar>
            <w:vAlign w:val="bottom"/>
          </w:tcPr>
          <w:p w14:paraId="3750DBFD"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r>
      <w:tr w:rsidR="002541AD" w14:paraId="3750DC06" w14:textId="77777777">
        <w:trPr>
          <w:jc w:val="center"/>
        </w:trPr>
        <w:tc>
          <w:tcPr>
            <w:tcW w:w="0" w:type="auto"/>
            <w:shd w:val="clear" w:color="auto" w:fill="auto"/>
            <w:tcMar>
              <w:top w:w="40" w:type="dxa"/>
              <w:left w:w="40" w:type="dxa"/>
              <w:bottom w:w="40" w:type="dxa"/>
              <w:right w:w="40" w:type="dxa"/>
            </w:tcMar>
          </w:tcPr>
          <w:p w14:paraId="3750DBFF"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Net increase (decrease) in cash and cash equivalents</w:t>
            </w:r>
          </w:p>
        </w:tc>
        <w:tc>
          <w:tcPr>
            <w:tcW w:w="0" w:type="auto"/>
            <w:shd w:val="clear" w:color="auto" w:fill="auto"/>
            <w:tcMar>
              <w:top w:w="40" w:type="dxa"/>
              <w:left w:w="40" w:type="dxa"/>
              <w:bottom w:w="40" w:type="dxa"/>
              <w:right w:w="40" w:type="dxa"/>
            </w:tcMar>
            <w:vAlign w:val="bottom"/>
          </w:tcPr>
          <w:p w14:paraId="3750DC0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DC01"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7,186</w:t>
            </w:r>
          </w:p>
        </w:tc>
        <w:tc>
          <w:tcPr>
            <w:tcW w:w="0" w:type="auto"/>
            <w:tcBorders>
              <w:top w:val="single" w:sz="8" w:space="0" w:color="333333"/>
              <w:bottom w:val="single" w:sz="8" w:space="0" w:color="333333"/>
            </w:tcBorders>
            <w:shd w:val="clear" w:color="auto" w:fill="auto"/>
            <w:vAlign w:val="bottom"/>
          </w:tcPr>
          <w:p w14:paraId="3750DC0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0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DC04"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135</w:t>
            </w:r>
          </w:p>
        </w:tc>
        <w:tc>
          <w:tcPr>
            <w:tcW w:w="0" w:type="auto"/>
            <w:tcBorders>
              <w:top w:val="single" w:sz="8" w:space="0" w:color="333333"/>
              <w:bottom w:val="single" w:sz="8" w:space="0" w:color="333333"/>
            </w:tcBorders>
            <w:shd w:val="clear" w:color="auto" w:fill="auto"/>
            <w:vAlign w:val="bottom"/>
          </w:tcPr>
          <w:p w14:paraId="3750DC05" w14:textId="77777777" w:rsidR="002541AD" w:rsidRDefault="002541AD">
            <w:pPr>
              <w:textAlignment w:val="bottom"/>
              <w:rPr>
                <w:rFonts w:ascii="Times New Roman" w:hAnsi="Times New Roman"/>
                <w:sz w:val="20"/>
                <w:szCs w:val="20"/>
              </w:rPr>
            </w:pPr>
          </w:p>
        </w:tc>
      </w:tr>
      <w:tr w:rsidR="002541AD" w14:paraId="3750DC10" w14:textId="77777777">
        <w:trPr>
          <w:jc w:val="center"/>
        </w:trPr>
        <w:tc>
          <w:tcPr>
            <w:tcW w:w="0" w:type="auto"/>
            <w:shd w:val="clear" w:color="auto" w:fill="auto"/>
            <w:tcMar>
              <w:top w:w="40" w:type="dxa"/>
              <w:left w:w="40" w:type="dxa"/>
              <w:bottom w:w="40" w:type="dxa"/>
              <w:right w:w="40" w:type="dxa"/>
            </w:tcMar>
          </w:tcPr>
          <w:p w14:paraId="3750DC07"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Cash and cash equivalents, end of period</w:t>
            </w:r>
          </w:p>
        </w:tc>
        <w:tc>
          <w:tcPr>
            <w:tcW w:w="0" w:type="auto"/>
            <w:shd w:val="clear" w:color="auto" w:fill="auto"/>
            <w:tcMar>
              <w:top w:w="40" w:type="dxa"/>
              <w:left w:w="40" w:type="dxa"/>
              <w:bottom w:w="40" w:type="dxa"/>
              <w:right w:w="40" w:type="dxa"/>
            </w:tcMar>
            <w:vAlign w:val="bottom"/>
          </w:tcPr>
          <w:p w14:paraId="3750DC0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3750DC09"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3750DC0A"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11,380</w:t>
            </w:r>
          </w:p>
        </w:tc>
        <w:tc>
          <w:tcPr>
            <w:tcW w:w="0" w:type="auto"/>
            <w:tcBorders>
              <w:bottom w:val="double" w:sz="6" w:space="0" w:color="333333"/>
            </w:tcBorders>
            <w:shd w:val="clear" w:color="auto" w:fill="auto"/>
            <w:vAlign w:val="bottom"/>
          </w:tcPr>
          <w:p w14:paraId="3750DC0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0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3750DC0D"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3750DC0E"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3,154</w:t>
            </w:r>
          </w:p>
        </w:tc>
        <w:tc>
          <w:tcPr>
            <w:tcW w:w="0" w:type="auto"/>
            <w:tcBorders>
              <w:bottom w:val="double" w:sz="6" w:space="0" w:color="333333"/>
            </w:tcBorders>
            <w:shd w:val="clear" w:color="auto" w:fill="auto"/>
            <w:vAlign w:val="bottom"/>
          </w:tcPr>
          <w:p w14:paraId="3750DC0F" w14:textId="77777777" w:rsidR="002541AD" w:rsidRDefault="002541AD">
            <w:pPr>
              <w:textAlignment w:val="bottom"/>
              <w:rPr>
                <w:rFonts w:ascii="Times New Roman" w:hAnsi="Times New Roman"/>
                <w:sz w:val="20"/>
                <w:szCs w:val="20"/>
              </w:rPr>
            </w:pPr>
          </w:p>
        </w:tc>
      </w:tr>
      <w:tr w:rsidR="002541AD" w14:paraId="3750DC16" w14:textId="77777777">
        <w:trPr>
          <w:jc w:val="center"/>
        </w:trPr>
        <w:tc>
          <w:tcPr>
            <w:tcW w:w="0" w:type="auto"/>
            <w:shd w:val="clear" w:color="auto" w:fill="auto"/>
            <w:tcMar>
              <w:top w:w="40" w:type="dxa"/>
              <w:left w:w="40" w:type="dxa"/>
              <w:bottom w:w="40" w:type="dxa"/>
              <w:right w:w="40" w:type="dxa"/>
            </w:tcMar>
            <w:vAlign w:val="bottom"/>
          </w:tcPr>
          <w:p w14:paraId="3750DC1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C1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C1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C1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C1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C1C" w14:textId="77777777">
        <w:trPr>
          <w:jc w:val="center"/>
        </w:trPr>
        <w:tc>
          <w:tcPr>
            <w:tcW w:w="0" w:type="auto"/>
            <w:shd w:val="clear" w:color="auto" w:fill="auto"/>
            <w:tcMar>
              <w:top w:w="40" w:type="dxa"/>
              <w:left w:w="40" w:type="dxa"/>
              <w:bottom w:w="40" w:type="dxa"/>
              <w:right w:w="40" w:type="dxa"/>
            </w:tcMar>
          </w:tcPr>
          <w:p w14:paraId="3750DC17"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 xml:space="preserve">Supplemental disclosures of noncash investing activities and cash flow </w:t>
            </w:r>
            <w:r>
              <w:rPr>
                <w:rFonts w:ascii="Arial" w:eastAsia="宋体" w:hAnsi="Arial" w:cs="Arial"/>
                <w:color w:val="333333"/>
                <w:sz w:val="18"/>
                <w:szCs w:val="18"/>
              </w:rPr>
              <w:t>information:</w:t>
            </w:r>
          </w:p>
        </w:tc>
        <w:tc>
          <w:tcPr>
            <w:tcW w:w="0" w:type="auto"/>
            <w:shd w:val="clear" w:color="auto" w:fill="auto"/>
            <w:tcMar>
              <w:top w:w="40" w:type="dxa"/>
              <w:left w:w="40" w:type="dxa"/>
              <w:bottom w:w="40" w:type="dxa"/>
              <w:right w:w="40" w:type="dxa"/>
            </w:tcMar>
            <w:vAlign w:val="bottom"/>
          </w:tcPr>
          <w:p w14:paraId="3750DC1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C1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C1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C1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C26" w14:textId="77777777">
        <w:trPr>
          <w:jc w:val="center"/>
        </w:trPr>
        <w:tc>
          <w:tcPr>
            <w:tcW w:w="0" w:type="auto"/>
            <w:shd w:val="clear" w:color="auto" w:fill="auto"/>
            <w:tcMar>
              <w:top w:w="40" w:type="dxa"/>
              <w:left w:w="240" w:type="dxa"/>
              <w:bottom w:w="40" w:type="dxa"/>
              <w:right w:w="40" w:type="dxa"/>
            </w:tcMar>
          </w:tcPr>
          <w:p w14:paraId="3750DC1D"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Acquisition of property, plant, and equipment included in accounts payable and accrued liabilities</w:t>
            </w:r>
          </w:p>
        </w:tc>
        <w:tc>
          <w:tcPr>
            <w:tcW w:w="0" w:type="auto"/>
            <w:shd w:val="clear" w:color="auto" w:fill="auto"/>
            <w:tcMar>
              <w:top w:w="40" w:type="dxa"/>
              <w:left w:w="40" w:type="dxa"/>
              <w:bottom w:w="40" w:type="dxa"/>
              <w:right w:w="40" w:type="dxa"/>
            </w:tcMar>
            <w:vAlign w:val="bottom"/>
          </w:tcPr>
          <w:p w14:paraId="3750DC1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C1F"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DC2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2,294</w:t>
            </w:r>
          </w:p>
        </w:tc>
        <w:tc>
          <w:tcPr>
            <w:tcW w:w="0" w:type="auto"/>
            <w:shd w:val="clear" w:color="auto" w:fill="auto"/>
            <w:vAlign w:val="bottom"/>
          </w:tcPr>
          <w:p w14:paraId="3750DC2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2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C23"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DC2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2,259</w:t>
            </w:r>
          </w:p>
        </w:tc>
        <w:tc>
          <w:tcPr>
            <w:tcW w:w="0" w:type="auto"/>
            <w:shd w:val="clear" w:color="auto" w:fill="auto"/>
            <w:vAlign w:val="bottom"/>
          </w:tcPr>
          <w:p w14:paraId="3750DC25" w14:textId="77777777" w:rsidR="002541AD" w:rsidRDefault="002541AD">
            <w:pPr>
              <w:textAlignment w:val="bottom"/>
              <w:rPr>
                <w:rFonts w:ascii="Times New Roman" w:hAnsi="Times New Roman"/>
                <w:sz w:val="20"/>
                <w:szCs w:val="20"/>
              </w:rPr>
            </w:pPr>
          </w:p>
        </w:tc>
      </w:tr>
      <w:tr w:rsidR="002541AD" w14:paraId="3750DC2C" w14:textId="77777777">
        <w:trPr>
          <w:jc w:val="center"/>
        </w:trPr>
        <w:tc>
          <w:tcPr>
            <w:tcW w:w="0" w:type="auto"/>
            <w:shd w:val="clear" w:color="auto" w:fill="auto"/>
            <w:tcMar>
              <w:top w:w="40" w:type="dxa"/>
              <w:left w:w="240" w:type="dxa"/>
              <w:bottom w:w="40" w:type="dxa"/>
              <w:right w:w="40" w:type="dxa"/>
            </w:tcMar>
          </w:tcPr>
          <w:p w14:paraId="3750DC27"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Cash paid during the period for:</w:t>
            </w:r>
          </w:p>
        </w:tc>
        <w:tc>
          <w:tcPr>
            <w:tcW w:w="0" w:type="auto"/>
            <w:shd w:val="clear" w:color="auto" w:fill="auto"/>
            <w:tcMar>
              <w:top w:w="40" w:type="dxa"/>
              <w:left w:w="40" w:type="dxa"/>
              <w:bottom w:w="40" w:type="dxa"/>
              <w:right w:w="40" w:type="dxa"/>
            </w:tcMar>
            <w:vAlign w:val="bottom"/>
          </w:tcPr>
          <w:p w14:paraId="3750DC2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C2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C2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C2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C36" w14:textId="77777777">
        <w:trPr>
          <w:jc w:val="center"/>
        </w:trPr>
        <w:tc>
          <w:tcPr>
            <w:tcW w:w="0" w:type="auto"/>
            <w:shd w:val="clear" w:color="auto" w:fill="auto"/>
            <w:tcMar>
              <w:top w:w="40" w:type="dxa"/>
              <w:left w:w="560" w:type="dxa"/>
              <w:bottom w:w="40" w:type="dxa"/>
              <w:right w:w="40" w:type="dxa"/>
            </w:tcMar>
          </w:tcPr>
          <w:p w14:paraId="3750DC2D"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Interest, net of capitalized interest</w:t>
            </w:r>
          </w:p>
        </w:tc>
        <w:tc>
          <w:tcPr>
            <w:tcW w:w="0" w:type="auto"/>
            <w:shd w:val="clear" w:color="auto" w:fill="auto"/>
            <w:tcMar>
              <w:top w:w="40" w:type="dxa"/>
              <w:left w:w="40" w:type="dxa"/>
              <w:bottom w:w="40" w:type="dxa"/>
              <w:right w:w="40" w:type="dxa"/>
            </w:tcMar>
            <w:vAlign w:val="bottom"/>
          </w:tcPr>
          <w:p w14:paraId="3750DC2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C2F"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DC3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67</w:t>
            </w:r>
          </w:p>
        </w:tc>
        <w:tc>
          <w:tcPr>
            <w:tcW w:w="0" w:type="auto"/>
            <w:shd w:val="clear" w:color="auto" w:fill="auto"/>
            <w:vAlign w:val="bottom"/>
          </w:tcPr>
          <w:p w14:paraId="3750DC3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3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C33"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DC3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109</w:t>
            </w:r>
          </w:p>
        </w:tc>
        <w:tc>
          <w:tcPr>
            <w:tcW w:w="0" w:type="auto"/>
            <w:shd w:val="clear" w:color="auto" w:fill="auto"/>
            <w:vAlign w:val="bottom"/>
          </w:tcPr>
          <w:p w14:paraId="3750DC35" w14:textId="77777777" w:rsidR="002541AD" w:rsidRDefault="002541AD">
            <w:pPr>
              <w:textAlignment w:val="bottom"/>
              <w:rPr>
                <w:rFonts w:ascii="Times New Roman" w:hAnsi="Times New Roman"/>
                <w:sz w:val="20"/>
                <w:szCs w:val="20"/>
              </w:rPr>
            </w:pPr>
          </w:p>
        </w:tc>
      </w:tr>
      <w:tr w:rsidR="002541AD" w14:paraId="3750DC40" w14:textId="77777777">
        <w:trPr>
          <w:jc w:val="center"/>
        </w:trPr>
        <w:tc>
          <w:tcPr>
            <w:tcW w:w="0" w:type="auto"/>
            <w:shd w:val="clear" w:color="auto" w:fill="auto"/>
            <w:tcMar>
              <w:top w:w="40" w:type="dxa"/>
              <w:left w:w="560" w:type="dxa"/>
              <w:bottom w:w="40" w:type="dxa"/>
              <w:right w:w="40" w:type="dxa"/>
            </w:tcMar>
          </w:tcPr>
          <w:p w14:paraId="3750DC37"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 xml:space="preserve">Income </w:t>
            </w:r>
            <w:r>
              <w:rPr>
                <w:rFonts w:ascii="Arial" w:eastAsia="宋体" w:hAnsi="Arial" w:cs="Arial"/>
                <w:color w:val="333333"/>
                <w:sz w:val="18"/>
                <w:szCs w:val="18"/>
              </w:rPr>
              <w:t>taxes, net of refunds</w:t>
            </w:r>
          </w:p>
        </w:tc>
        <w:tc>
          <w:tcPr>
            <w:tcW w:w="0" w:type="auto"/>
            <w:shd w:val="clear" w:color="auto" w:fill="auto"/>
            <w:tcMar>
              <w:top w:w="40" w:type="dxa"/>
              <w:left w:w="40" w:type="dxa"/>
              <w:bottom w:w="40" w:type="dxa"/>
              <w:right w:w="40" w:type="dxa"/>
            </w:tcMar>
            <w:vAlign w:val="bottom"/>
          </w:tcPr>
          <w:p w14:paraId="3750DC3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C39"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DC3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211</w:t>
            </w:r>
          </w:p>
        </w:tc>
        <w:tc>
          <w:tcPr>
            <w:tcW w:w="0" w:type="auto"/>
            <w:shd w:val="clear" w:color="auto" w:fill="auto"/>
            <w:vAlign w:val="bottom"/>
          </w:tcPr>
          <w:p w14:paraId="3750DC3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3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C3D"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DC3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125</w:t>
            </w:r>
          </w:p>
        </w:tc>
        <w:tc>
          <w:tcPr>
            <w:tcW w:w="0" w:type="auto"/>
            <w:shd w:val="clear" w:color="auto" w:fill="auto"/>
            <w:vAlign w:val="bottom"/>
          </w:tcPr>
          <w:p w14:paraId="3750DC3F" w14:textId="77777777" w:rsidR="002541AD" w:rsidRDefault="002541AD">
            <w:pPr>
              <w:textAlignment w:val="bottom"/>
              <w:rPr>
                <w:rFonts w:ascii="Times New Roman" w:hAnsi="Times New Roman"/>
                <w:sz w:val="20"/>
                <w:szCs w:val="20"/>
              </w:rPr>
            </w:pPr>
          </w:p>
        </w:tc>
      </w:tr>
    </w:tbl>
    <w:p w14:paraId="3750DC41" w14:textId="77777777" w:rsidR="002541AD" w:rsidRDefault="00901AA6">
      <w:pPr>
        <w:spacing w:line="288" w:lineRule="auto"/>
        <w:rPr>
          <w:rFonts w:ascii="Times New Roman" w:hAnsi="Times New Roman"/>
          <w:sz w:val="16"/>
          <w:szCs w:val="16"/>
        </w:rPr>
      </w:pPr>
      <w:r>
        <w:rPr>
          <w:rFonts w:ascii="Arial" w:eastAsia="宋体" w:hAnsi="Arial" w:cs="Arial"/>
          <w:i/>
          <w:iCs/>
          <w:color w:val="333333"/>
          <w:sz w:val="16"/>
          <w:szCs w:val="16"/>
        </w:rPr>
        <w:t>See accompanying notes.</w:t>
      </w:r>
    </w:p>
    <w:p w14:paraId="3750DC42"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DC44" w14:textId="77777777">
        <w:tc>
          <w:tcPr>
            <w:tcW w:w="0" w:type="auto"/>
            <w:gridSpan w:val="3"/>
            <w:shd w:val="clear" w:color="auto" w:fill="auto"/>
            <w:vAlign w:val="center"/>
          </w:tcPr>
          <w:p w14:paraId="3750DC43" w14:textId="77777777" w:rsidR="002541AD" w:rsidRDefault="002541AD">
            <w:pPr>
              <w:rPr>
                <w:rFonts w:ascii="Times New Roman" w:hAnsi="Times New Roman"/>
                <w:sz w:val="20"/>
                <w:szCs w:val="20"/>
              </w:rPr>
            </w:pPr>
          </w:p>
        </w:tc>
      </w:tr>
      <w:tr w:rsidR="002541AD" w14:paraId="3750DC48" w14:textId="77777777">
        <w:tc>
          <w:tcPr>
            <w:tcW w:w="1550" w:type="pct"/>
            <w:shd w:val="clear" w:color="auto" w:fill="auto"/>
            <w:vAlign w:val="center"/>
          </w:tcPr>
          <w:p w14:paraId="3750DC45" w14:textId="77777777" w:rsidR="002541AD" w:rsidRDefault="002541AD">
            <w:pPr>
              <w:rPr>
                <w:rFonts w:ascii="Times New Roman" w:hAnsi="Times New Roman"/>
                <w:sz w:val="20"/>
                <w:szCs w:val="20"/>
              </w:rPr>
            </w:pPr>
          </w:p>
        </w:tc>
        <w:tc>
          <w:tcPr>
            <w:tcW w:w="2200" w:type="pct"/>
            <w:shd w:val="clear" w:color="auto" w:fill="auto"/>
            <w:vAlign w:val="center"/>
          </w:tcPr>
          <w:p w14:paraId="3750DC46" w14:textId="77777777" w:rsidR="002541AD" w:rsidRDefault="002541AD">
            <w:pPr>
              <w:rPr>
                <w:rFonts w:ascii="Times New Roman" w:hAnsi="Times New Roman"/>
                <w:sz w:val="20"/>
                <w:szCs w:val="20"/>
              </w:rPr>
            </w:pPr>
          </w:p>
        </w:tc>
        <w:tc>
          <w:tcPr>
            <w:tcW w:w="1250" w:type="pct"/>
            <w:shd w:val="clear" w:color="auto" w:fill="auto"/>
            <w:vAlign w:val="center"/>
          </w:tcPr>
          <w:p w14:paraId="3750DC47" w14:textId="77777777" w:rsidR="002541AD" w:rsidRDefault="002541AD">
            <w:pPr>
              <w:rPr>
                <w:rFonts w:ascii="Times New Roman" w:hAnsi="Times New Roman"/>
                <w:sz w:val="20"/>
                <w:szCs w:val="20"/>
              </w:rPr>
            </w:pPr>
          </w:p>
        </w:tc>
      </w:tr>
      <w:tr w:rsidR="002541AD" w14:paraId="3750DC4C" w14:textId="77777777">
        <w:tc>
          <w:tcPr>
            <w:tcW w:w="0" w:type="auto"/>
            <w:tcBorders>
              <w:top w:val="single" w:sz="8" w:space="0" w:color="0071C5"/>
              <w:right w:val="single" w:sz="24" w:space="0" w:color="0071C5"/>
            </w:tcBorders>
            <w:shd w:val="clear" w:color="auto" w:fill="auto"/>
            <w:tcMar>
              <w:top w:w="40" w:type="dxa"/>
              <w:left w:w="40" w:type="dxa"/>
              <w:bottom w:w="40" w:type="dxa"/>
              <w:right w:w="40" w:type="dxa"/>
            </w:tcMar>
            <w:vAlign w:val="center"/>
          </w:tcPr>
          <w:p w14:paraId="3750DC49"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59" wp14:editId="3750F85A">
                  <wp:extent cx="304800" cy="304800"/>
                  <wp:effectExtent l="0" t="0" r="0" b="0"/>
                  <wp:docPr id="64" name="图片 57"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7"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C4A"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Consolidated Condensed Statements of Cash Flows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C4B"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9</w:t>
            </w:r>
          </w:p>
        </w:tc>
      </w:tr>
    </w:tbl>
    <w:p w14:paraId="3750DC4D" w14:textId="77777777" w:rsidR="002541AD" w:rsidRDefault="002541AD">
      <w:pPr>
        <w:spacing w:line="288" w:lineRule="auto"/>
        <w:rPr>
          <w:rFonts w:ascii="Times New Roman" w:hAnsi="Times New Roman"/>
          <w:sz w:val="18"/>
          <w:szCs w:val="18"/>
        </w:rPr>
      </w:pPr>
    </w:p>
    <w:p w14:paraId="3750DC4E" w14:textId="77777777" w:rsidR="002541AD" w:rsidRDefault="00901AA6">
      <w:r>
        <w:rPr>
          <w:rFonts w:ascii="Times New Roman" w:hAnsi="Times New Roman"/>
          <w:sz w:val="18"/>
          <w:szCs w:val="18"/>
        </w:rPr>
        <w:pict w14:anchorId="3750F85B">
          <v:rect id="_x0000_i1035" style="width:415.3pt;height:1.5pt" o:hralign="center" o:hrstd="t" o:hr="t" fillcolor="#a0a0a0" stroked="f"/>
        </w:pict>
      </w:r>
    </w:p>
    <w:p w14:paraId="3750DC4F" w14:textId="77777777" w:rsidR="002541AD" w:rsidRDefault="00901AA6">
      <w:pPr>
        <w:spacing w:line="288" w:lineRule="auto"/>
        <w:jc w:val="right"/>
        <w:rPr>
          <w:rFonts w:ascii="Times New Roman" w:hAnsi="Times New Roman"/>
          <w:sz w:val="16"/>
          <w:szCs w:val="16"/>
        </w:rPr>
      </w:pPr>
      <w:hyperlink r:id="rId38" w:anchor="s2CABEAF4222C52B4A34547BF538A8C27" w:history="1">
        <w:r>
          <w:rPr>
            <w:rStyle w:val="a5"/>
            <w:rFonts w:ascii="Arial" w:eastAsia="宋体" w:hAnsi="Arial" w:cs="Arial"/>
            <w:b/>
            <w:bCs/>
            <w:sz w:val="16"/>
            <w:szCs w:val="16"/>
          </w:rPr>
          <w:t>Table of Contents</w:t>
        </w:r>
      </w:hyperlink>
    </w:p>
    <w:p w14:paraId="3750DC50" w14:textId="77777777" w:rsidR="002541AD" w:rsidRDefault="002541AD">
      <w:pPr>
        <w:spacing w:line="288" w:lineRule="auto"/>
        <w:jc w:val="right"/>
        <w:rPr>
          <w:rFonts w:ascii="Times New Roman" w:hAnsi="Times New Roman"/>
          <w:sz w:val="18"/>
          <w:szCs w:val="18"/>
        </w:rPr>
      </w:pPr>
    </w:p>
    <w:p w14:paraId="3750DC51"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2541AD" w14:paraId="3750DC53" w14:textId="77777777">
        <w:tc>
          <w:tcPr>
            <w:tcW w:w="0" w:type="auto"/>
            <w:shd w:val="clear" w:color="auto" w:fill="auto"/>
            <w:vAlign w:val="center"/>
          </w:tcPr>
          <w:p w14:paraId="3750DC52" w14:textId="77777777" w:rsidR="002541AD" w:rsidRDefault="002541AD">
            <w:pPr>
              <w:rPr>
                <w:rFonts w:ascii="Times New Roman" w:hAnsi="Times New Roman"/>
                <w:sz w:val="20"/>
                <w:szCs w:val="20"/>
              </w:rPr>
            </w:pPr>
          </w:p>
        </w:tc>
      </w:tr>
      <w:tr w:rsidR="002541AD" w14:paraId="3750DC55" w14:textId="77777777">
        <w:tc>
          <w:tcPr>
            <w:tcW w:w="5000" w:type="pct"/>
            <w:shd w:val="clear" w:color="auto" w:fill="auto"/>
            <w:vAlign w:val="center"/>
          </w:tcPr>
          <w:p w14:paraId="3750DC54" w14:textId="77777777" w:rsidR="002541AD" w:rsidRDefault="002541AD">
            <w:pPr>
              <w:rPr>
                <w:rFonts w:ascii="Times New Roman" w:hAnsi="Times New Roman"/>
                <w:sz w:val="20"/>
                <w:szCs w:val="20"/>
              </w:rPr>
            </w:pPr>
          </w:p>
        </w:tc>
      </w:tr>
      <w:tr w:rsidR="002541AD" w14:paraId="3750DC57" w14:textId="77777777">
        <w:tc>
          <w:tcPr>
            <w:tcW w:w="0" w:type="auto"/>
            <w:shd w:val="clear" w:color="auto" w:fill="0071C5"/>
            <w:tcMar>
              <w:top w:w="40" w:type="dxa"/>
              <w:left w:w="40" w:type="dxa"/>
              <w:bottom w:w="40" w:type="dxa"/>
              <w:right w:w="40" w:type="dxa"/>
            </w:tcMar>
            <w:vAlign w:val="bottom"/>
          </w:tcPr>
          <w:p w14:paraId="3750DC56"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rPr>
              <w:t>CONSOLIDATED CONDENSED STATEMENTS OF STOCKHOLDERS' EQUITY</w:t>
            </w:r>
          </w:p>
        </w:tc>
      </w:tr>
    </w:tbl>
    <w:p w14:paraId="3750DC58" w14:textId="77777777" w:rsidR="002541AD" w:rsidRDefault="002541AD">
      <w:pPr>
        <w:rPr>
          <w:vanish/>
        </w:rPr>
      </w:pPr>
    </w:p>
    <w:tbl>
      <w:tblPr>
        <w:tblW w:w="5000" w:type="pct"/>
        <w:tblCellMar>
          <w:left w:w="0" w:type="dxa"/>
          <w:right w:w="0" w:type="dxa"/>
        </w:tblCellMar>
        <w:tblLook w:val="04A0" w:firstRow="1" w:lastRow="0" w:firstColumn="1" w:lastColumn="0" w:noHBand="0" w:noVBand="1"/>
      </w:tblPr>
      <w:tblGrid>
        <w:gridCol w:w="2893"/>
        <w:gridCol w:w="130"/>
        <w:gridCol w:w="651"/>
        <w:gridCol w:w="101"/>
        <w:gridCol w:w="130"/>
        <w:gridCol w:w="141"/>
        <w:gridCol w:w="570"/>
        <w:gridCol w:w="100"/>
        <w:gridCol w:w="130"/>
        <w:gridCol w:w="142"/>
        <w:gridCol w:w="1226"/>
        <w:gridCol w:w="102"/>
        <w:gridCol w:w="130"/>
        <w:gridCol w:w="142"/>
        <w:gridCol w:w="696"/>
        <w:gridCol w:w="100"/>
        <w:gridCol w:w="130"/>
        <w:gridCol w:w="141"/>
        <w:gridCol w:w="551"/>
        <w:gridCol w:w="100"/>
      </w:tblGrid>
      <w:tr w:rsidR="002541AD" w14:paraId="3750DC5A" w14:textId="77777777">
        <w:tc>
          <w:tcPr>
            <w:tcW w:w="0" w:type="auto"/>
            <w:gridSpan w:val="20"/>
            <w:shd w:val="clear" w:color="auto" w:fill="auto"/>
            <w:vAlign w:val="center"/>
          </w:tcPr>
          <w:p w14:paraId="3750DC59" w14:textId="77777777" w:rsidR="002541AD" w:rsidRDefault="002541AD">
            <w:pPr>
              <w:rPr>
                <w:rFonts w:ascii="Times New Roman" w:hAnsi="Times New Roman"/>
                <w:sz w:val="20"/>
                <w:szCs w:val="20"/>
              </w:rPr>
            </w:pPr>
          </w:p>
        </w:tc>
      </w:tr>
      <w:tr w:rsidR="002541AD" w14:paraId="3750DC6F" w14:textId="77777777">
        <w:tc>
          <w:tcPr>
            <w:tcW w:w="1850" w:type="pct"/>
            <w:shd w:val="clear" w:color="auto" w:fill="auto"/>
            <w:vAlign w:val="center"/>
          </w:tcPr>
          <w:p w14:paraId="3750DC5B" w14:textId="77777777" w:rsidR="002541AD" w:rsidRDefault="002541AD">
            <w:pPr>
              <w:rPr>
                <w:rFonts w:ascii="Times New Roman" w:hAnsi="Times New Roman"/>
                <w:sz w:val="20"/>
                <w:szCs w:val="20"/>
              </w:rPr>
            </w:pPr>
          </w:p>
        </w:tc>
        <w:tc>
          <w:tcPr>
            <w:tcW w:w="50" w:type="pct"/>
            <w:shd w:val="clear" w:color="auto" w:fill="auto"/>
            <w:vAlign w:val="center"/>
          </w:tcPr>
          <w:p w14:paraId="3750DC5C" w14:textId="77777777" w:rsidR="002541AD" w:rsidRDefault="002541AD">
            <w:pPr>
              <w:rPr>
                <w:rFonts w:ascii="Times New Roman" w:hAnsi="Times New Roman"/>
                <w:sz w:val="20"/>
                <w:szCs w:val="20"/>
              </w:rPr>
            </w:pPr>
          </w:p>
        </w:tc>
        <w:tc>
          <w:tcPr>
            <w:tcW w:w="500" w:type="pct"/>
            <w:shd w:val="clear" w:color="auto" w:fill="auto"/>
            <w:vAlign w:val="center"/>
          </w:tcPr>
          <w:p w14:paraId="3750DC5D" w14:textId="77777777" w:rsidR="002541AD" w:rsidRDefault="002541AD">
            <w:pPr>
              <w:rPr>
                <w:rFonts w:ascii="Times New Roman" w:hAnsi="Times New Roman"/>
                <w:sz w:val="20"/>
                <w:szCs w:val="20"/>
              </w:rPr>
            </w:pPr>
          </w:p>
        </w:tc>
        <w:tc>
          <w:tcPr>
            <w:tcW w:w="50" w:type="pct"/>
            <w:shd w:val="clear" w:color="auto" w:fill="auto"/>
            <w:vAlign w:val="center"/>
          </w:tcPr>
          <w:p w14:paraId="3750DC5E" w14:textId="77777777" w:rsidR="002541AD" w:rsidRDefault="002541AD">
            <w:pPr>
              <w:rPr>
                <w:rFonts w:ascii="Times New Roman" w:hAnsi="Times New Roman"/>
                <w:sz w:val="20"/>
                <w:szCs w:val="20"/>
              </w:rPr>
            </w:pPr>
          </w:p>
        </w:tc>
        <w:tc>
          <w:tcPr>
            <w:tcW w:w="50" w:type="pct"/>
            <w:shd w:val="clear" w:color="auto" w:fill="auto"/>
            <w:vAlign w:val="center"/>
          </w:tcPr>
          <w:p w14:paraId="3750DC5F" w14:textId="77777777" w:rsidR="002541AD" w:rsidRDefault="002541AD">
            <w:pPr>
              <w:rPr>
                <w:rFonts w:ascii="Times New Roman" w:hAnsi="Times New Roman"/>
                <w:sz w:val="20"/>
                <w:szCs w:val="20"/>
              </w:rPr>
            </w:pPr>
          </w:p>
        </w:tc>
        <w:tc>
          <w:tcPr>
            <w:tcW w:w="50" w:type="pct"/>
            <w:shd w:val="clear" w:color="auto" w:fill="auto"/>
            <w:vAlign w:val="center"/>
          </w:tcPr>
          <w:p w14:paraId="3750DC60" w14:textId="77777777" w:rsidR="002541AD" w:rsidRDefault="002541AD">
            <w:pPr>
              <w:rPr>
                <w:rFonts w:ascii="Times New Roman" w:hAnsi="Times New Roman"/>
                <w:sz w:val="20"/>
                <w:szCs w:val="20"/>
              </w:rPr>
            </w:pPr>
          </w:p>
        </w:tc>
        <w:tc>
          <w:tcPr>
            <w:tcW w:w="450" w:type="pct"/>
            <w:shd w:val="clear" w:color="auto" w:fill="auto"/>
            <w:vAlign w:val="center"/>
          </w:tcPr>
          <w:p w14:paraId="3750DC61" w14:textId="77777777" w:rsidR="002541AD" w:rsidRDefault="002541AD">
            <w:pPr>
              <w:rPr>
                <w:rFonts w:ascii="Times New Roman" w:hAnsi="Times New Roman"/>
                <w:sz w:val="20"/>
                <w:szCs w:val="20"/>
              </w:rPr>
            </w:pPr>
          </w:p>
        </w:tc>
        <w:tc>
          <w:tcPr>
            <w:tcW w:w="50" w:type="pct"/>
            <w:shd w:val="clear" w:color="auto" w:fill="auto"/>
            <w:vAlign w:val="center"/>
          </w:tcPr>
          <w:p w14:paraId="3750DC62" w14:textId="77777777" w:rsidR="002541AD" w:rsidRDefault="002541AD">
            <w:pPr>
              <w:rPr>
                <w:rFonts w:ascii="Times New Roman" w:hAnsi="Times New Roman"/>
                <w:sz w:val="20"/>
                <w:szCs w:val="20"/>
              </w:rPr>
            </w:pPr>
          </w:p>
        </w:tc>
        <w:tc>
          <w:tcPr>
            <w:tcW w:w="50" w:type="pct"/>
            <w:shd w:val="clear" w:color="auto" w:fill="auto"/>
            <w:vAlign w:val="center"/>
          </w:tcPr>
          <w:p w14:paraId="3750DC63" w14:textId="77777777" w:rsidR="002541AD" w:rsidRDefault="002541AD">
            <w:pPr>
              <w:rPr>
                <w:rFonts w:ascii="Times New Roman" w:hAnsi="Times New Roman"/>
                <w:sz w:val="20"/>
                <w:szCs w:val="20"/>
              </w:rPr>
            </w:pPr>
          </w:p>
        </w:tc>
        <w:tc>
          <w:tcPr>
            <w:tcW w:w="50" w:type="pct"/>
            <w:shd w:val="clear" w:color="auto" w:fill="auto"/>
            <w:vAlign w:val="center"/>
          </w:tcPr>
          <w:p w14:paraId="3750DC64" w14:textId="77777777" w:rsidR="002541AD" w:rsidRDefault="002541AD">
            <w:pPr>
              <w:rPr>
                <w:rFonts w:ascii="Times New Roman" w:hAnsi="Times New Roman"/>
                <w:sz w:val="20"/>
                <w:szCs w:val="20"/>
              </w:rPr>
            </w:pPr>
          </w:p>
        </w:tc>
        <w:tc>
          <w:tcPr>
            <w:tcW w:w="600" w:type="pct"/>
            <w:shd w:val="clear" w:color="auto" w:fill="auto"/>
            <w:vAlign w:val="center"/>
          </w:tcPr>
          <w:p w14:paraId="3750DC65" w14:textId="77777777" w:rsidR="002541AD" w:rsidRDefault="002541AD">
            <w:pPr>
              <w:rPr>
                <w:rFonts w:ascii="Times New Roman" w:hAnsi="Times New Roman"/>
                <w:sz w:val="20"/>
                <w:szCs w:val="20"/>
              </w:rPr>
            </w:pPr>
          </w:p>
        </w:tc>
        <w:tc>
          <w:tcPr>
            <w:tcW w:w="50" w:type="pct"/>
            <w:shd w:val="clear" w:color="auto" w:fill="auto"/>
            <w:vAlign w:val="center"/>
          </w:tcPr>
          <w:p w14:paraId="3750DC66" w14:textId="77777777" w:rsidR="002541AD" w:rsidRDefault="002541AD">
            <w:pPr>
              <w:rPr>
                <w:rFonts w:ascii="Times New Roman" w:hAnsi="Times New Roman"/>
                <w:sz w:val="20"/>
                <w:szCs w:val="20"/>
              </w:rPr>
            </w:pPr>
          </w:p>
        </w:tc>
        <w:tc>
          <w:tcPr>
            <w:tcW w:w="50" w:type="pct"/>
            <w:shd w:val="clear" w:color="auto" w:fill="auto"/>
            <w:vAlign w:val="center"/>
          </w:tcPr>
          <w:p w14:paraId="3750DC67" w14:textId="77777777" w:rsidR="002541AD" w:rsidRDefault="002541AD">
            <w:pPr>
              <w:rPr>
                <w:rFonts w:ascii="Times New Roman" w:hAnsi="Times New Roman"/>
                <w:sz w:val="20"/>
                <w:szCs w:val="20"/>
              </w:rPr>
            </w:pPr>
          </w:p>
        </w:tc>
        <w:tc>
          <w:tcPr>
            <w:tcW w:w="50" w:type="pct"/>
            <w:shd w:val="clear" w:color="auto" w:fill="auto"/>
            <w:vAlign w:val="center"/>
          </w:tcPr>
          <w:p w14:paraId="3750DC68" w14:textId="77777777" w:rsidR="002541AD" w:rsidRDefault="002541AD">
            <w:pPr>
              <w:rPr>
                <w:rFonts w:ascii="Times New Roman" w:hAnsi="Times New Roman"/>
                <w:sz w:val="20"/>
                <w:szCs w:val="20"/>
              </w:rPr>
            </w:pPr>
          </w:p>
        </w:tc>
        <w:tc>
          <w:tcPr>
            <w:tcW w:w="450" w:type="pct"/>
            <w:shd w:val="clear" w:color="auto" w:fill="auto"/>
            <w:vAlign w:val="center"/>
          </w:tcPr>
          <w:p w14:paraId="3750DC69" w14:textId="77777777" w:rsidR="002541AD" w:rsidRDefault="002541AD">
            <w:pPr>
              <w:rPr>
                <w:rFonts w:ascii="Times New Roman" w:hAnsi="Times New Roman"/>
                <w:sz w:val="20"/>
                <w:szCs w:val="20"/>
              </w:rPr>
            </w:pPr>
          </w:p>
        </w:tc>
        <w:tc>
          <w:tcPr>
            <w:tcW w:w="50" w:type="pct"/>
            <w:shd w:val="clear" w:color="auto" w:fill="auto"/>
            <w:vAlign w:val="center"/>
          </w:tcPr>
          <w:p w14:paraId="3750DC6A" w14:textId="77777777" w:rsidR="002541AD" w:rsidRDefault="002541AD">
            <w:pPr>
              <w:rPr>
                <w:rFonts w:ascii="Times New Roman" w:hAnsi="Times New Roman"/>
                <w:sz w:val="20"/>
                <w:szCs w:val="20"/>
              </w:rPr>
            </w:pPr>
          </w:p>
        </w:tc>
        <w:tc>
          <w:tcPr>
            <w:tcW w:w="50" w:type="pct"/>
            <w:shd w:val="clear" w:color="auto" w:fill="auto"/>
            <w:vAlign w:val="center"/>
          </w:tcPr>
          <w:p w14:paraId="3750DC6B" w14:textId="77777777" w:rsidR="002541AD" w:rsidRDefault="002541AD">
            <w:pPr>
              <w:rPr>
                <w:rFonts w:ascii="Times New Roman" w:hAnsi="Times New Roman"/>
                <w:sz w:val="20"/>
                <w:szCs w:val="20"/>
              </w:rPr>
            </w:pPr>
          </w:p>
        </w:tc>
        <w:tc>
          <w:tcPr>
            <w:tcW w:w="50" w:type="pct"/>
            <w:shd w:val="clear" w:color="auto" w:fill="auto"/>
            <w:vAlign w:val="center"/>
          </w:tcPr>
          <w:p w14:paraId="3750DC6C" w14:textId="77777777" w:rsidR="002541AD" w:rsidRDefault="002541AD">
            <w:pPr>
              <w:rPr>
                <w:rFonts w:ascii="Times New Roman" w:hAnsi="Times New Roman"/>
                <w:sz w:val="20"/>
                <w:szCs w:val="20"/>
              </w:rPr>
            </w:pPr>
          </w:p>
        </w:tc>
        <w:tc>
          <w:tcPr>
            <w:tcW w:w="450" w:type="pct"/>
            <w:shd w:val="clear" w:color="auto" w:fill="auto"/>
            <w:vAlign w:val="center"/>
          </w:tcPr>
          <w:p w14:paraId="3750DC6D" w14:textId="77777777" w:rsidR="002541AD" w:rsidRDefault="002541AD">
            <w:pPr>
              <w:rPr>
                <w:rFonts w:ascii="Times New Roman" w:hAnsi="Times New Roman"/>
                <w:sz w:val="20"/>
                <w:szCs w:val="20"/>
              </w:rPr>
            </w:pPr>
          </w:p>
        </w:tc>
        <w:tc>
          <w:tcPr>
            <w:tcW w:w="50" w:type="pct"/>
            <w:shd w:val="clear" w:color="auto" w:fill="auto"/>
            <w:vAlign w:val="center"/>
          </w:tcPr>
          <w:p w14:paraId="3750DC6E" w14:textId="77777777" w:rsidR="002541AD" w:rsidRDefault="002541AD">
            <w:pPr>
              <w:rPr>
                <w:rFonts w:ascii="Times New Roman" w:hAnsi="Times New Roman"/>
                <w:sz w:val="20"/>
                <w:szCs w:val="20"/>
              </w:rPr>
            </w:pPr>
          </w:p>
        </w:tc>
      </w:tr>
      <w:tr w:rsidR="002541AD" w14:paraId="3750DC79" w14:textId="77777777">
        <w:tc>
          <w:tcPr>
            <w:tcW w:w="0" w:type="auto"/>
            <w:shd w:val="clear" w:color="auto" w:fill="auto"/>
            <w:tcMar>
              <w:top w:w="40" w:type="dxa"/>
              <w:left w:w="40" w:type="dxa"/>
              <w:bottom w:w="40" w:type="dxa"/>
              <w:right w:w="40" w:type="dxa"/>
            </w:tcMar>
            <w:vAlign w:val="bottom"/>
          </w:tcPr>
          <w:p w14:paraId="3750DC7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C7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71C5"/>
            </w:tcBorders>
            <w:shd w:val="clear" w:color="auto" w:fill="auto"/>
            <w:tcMar>
              <w:top w:w="40" w:type="dxa"/>
              <w:left w:w="40" w:type="dxa"/>
              <w:bottom w:w="40" w:type="dxa"/>
            </w:tcMar>
            <w:vAlign w:val="bottom"/>
          </w:tcPr>
          <w:p w14:paraId="3750DC72"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Common Stock and Capital in Excess of Par Value</w:t>
            </w:r>
          </w:p>
        </w:tc>
        <w:tc>
          <w:tcPr>
            <w:tcW w:w="0" w:type="auto"/>
            <w:shd w:val="clear" w:color="auto" w:fill="auto"/>
            <w:tcMar>
              <w:top w:w="40" w:type="dxa"/>
              <w:left w:w="40" w:type="dxa"/>
              <w:bottom w:w="40" w:type="dxa"/>
              <w:right w:w="40" w:type="dxa"/>
            </w:tcMar>
            <w:vAlign w:val="bottom"/>
          </w:tcPr>
          <w:p w14:paraId="3750DC7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71C5"/>
            </w:tcBorders>
            <w:shd w:val="clear" w:color="auto" w:fill="auto"/>
            <w:tcMar>
              <w:top w:w="40" w:type="dxa"/>
              <w:left w:w="40" w:type="dxa"/>
              <w:bottom w:w="40" w:type="dxa"/>
              <w:right w:w="40" w:type="dxa"/>
            </w:tcMar>
            <w:vAlign w:val="bottom"/>
          </w:tcPr>
          <w:p w14:paraId="3750DC74"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Accumulated Other Comprehensive Income (Loss)</w:t>
            </w:r>
          </w:p>
        </w:tc>
        <w:tc>
          <w:tcPr>
            <w:tcW w:w="0" w:type="auto"/>
            <w:shd w:val="clear" w:color="auto" w:fill="auto"/>
            <w:tcMar>
              <w:top w:w="40" w:type="dxa"/>
              <w:left w:w="40" w:type="dxa"/>
              <w:bottom w:w="40" w:type="dxa"/>
              <w:right w:w="40" w:type="dxa"/>
            </w:tcMar>
            <w:vAlign w:val="bottom"/>
          </w:tcPr>
          <w:p w14:paraId="3750DC7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71C5"/>
            </w:tcBorders>
            <w:shd w:val="clear" w:color="auto" w:fill="auto"/>
            <w:tcMar>
              <w:top w:w="40" w:type="dxa"/>
              <w:left w:w="40" w:type="dxa"/>
              <w:bottom w:w="40" w:type="dxa"/>
              <w:right w:w="40" w:type="dxa"/>
            </w:tcMar>
            <w:vAlign w:val="bottom"/>
          </w:tcPr>
          <w:p w14:paraId="3750DC76"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Retained Earnings</w:t>
            </w:r>
          </w:p>
        </w:tc>
        <w:tc>
          <w:tcPr>
            <w:tcW w:w="0" w:type="auto"/>
            <w:shd w:val="clear" w:color="auto" w:fill="auto"/>
            <w:tcMar>
              <w:top w:w="40" w:type="dxa"/>
              <w:left w:w="40" w:type="dxa"/>
              <w:bottom w:w="40" w:type="dxa"/>
              <w:right w:w="40" w:type="dxa"/>
            </w:tcMar>
            <w:vAlign w:val="bottom"/>
          </w:tcPr>
          <w:p w14:paraId="3750DC7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71C5"/>
            </w:tcBorders>
            <w:shd w:val="clear" w:color="auto" w:fill="auto"/>
            <w:tcMar>
              <w:top w:w="40" w:type="dxa"/>
              <w:left w:w="40" w:type="dxa"/>
              <w:bottom w:w="40" w:type="dxa"/>
              <w:right w:w="40" w:type="dxa"/>
            </w:tcMar>
            <w:vAlign w:val="bottom"/>
          </w:tcPr>
          <w:p w14:paraId="3750DC78"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Total</w:t>
            </w:r>
          </w:p>
        </w:tc>
      </w:tr>
      <w:tr w:rsidR="002541AD" w14:paraId="3750DC85"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DC7A"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(In Millions, Except Per Share Amounts; Unaudited)</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DC7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3750DC7C"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Shares</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DC7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DC7E"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Amount</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DC7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71C5"/>
            </w:tcBorders>
            <w:shd w:val="clear" w:color="auto" w:fill="auto"/>
            <w:tcMar>
              <w:top w:w="40" w:type="dxa"/>
              <w:left w:w="40" w:type="dxa"/>
              <w:bottom w:w="40" w:type="dxa"/>
              <w:right w:w="40" w:type="dxa"/>
            </w:tcMar>
            <w:vAlign w:val="bottom"/>
          </w:tcPr>
          <w:p w14:paraId="3750DC80" w14:textId="77777777" w:rsidR="002541AD" w:rsidRDefault="002541AD">
            <w:pPr>
              <w:rPr>
                <w:rFonts w:ascii="Times New Roman" w:hAnsi="Times New Roman"/>
                <w:sz w:val="20"/>
                <w:szCs w:val="20"/>
              </w:rPr>
            </w:pPr>
          </w:p>
        </w:tc>
        <w:tc>
          <w:tcPr>
            <w:tcW w:w="0" w:type="auto"/>
            <w:tcBorders>
              <w:bottom w:val="single" w:sz="8" w:space="0" w:color="0071C5"/>
            </w:tcBorders>
            <w:shd w:val="clear" w:color="auto" w:fill="auto"/>
            <w:tcMar>
              <w:top w:w="40" w:type="dxa"/>
              <w:left w:w="40" w:type="dxa"/>
              <w:bottom w:w="40" w:type="dxa"/>
              <w:right w:w="40" w:type="dxa"/>
            </w:tcMar>
            <w:vAlign w:val="bottom"/>
          </w:tcPr>
          <w:p w14:paraId="3750DC8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71C5"/>
            </w:tcBorders>
            <w:shd w:val="clear" w:color="auto" w:fill="auto"/>
            <w:tcMar>
              <w:top w:w="40" w:type="dxa"/>
              <w:left w:w="40" w:type="dxa"/>
              <w:bottom w:w="40" w:type="dxa"/>
              <w:right w:w="40" w:type="dxa"/>
            </w:tcMar>
            <w:vAlign w:val="bottom"/>
          </w:tcPr>
          <w:p w14:paraId="3750DC82" w14:textId="77777777" w:rsidR="002541AD" w:rsidRDefault="002541AD">
            <w:pPr>
              <w:rPr>
                <w:rFonts w:ascii="Times New Roman" w:hAnsi="Times New Roman"/>
                <w:sz w:val="20"/>
                <w:szCs w:val="20"/>
              </w:rPr>
            </w:pPr>
          </w:p>
        </w:tc>
        <w:tc>
          <w:tcPr>
            <w:tcW w:w="0" w:type="auto"/>
            <w:tcBorders>
              <w:bottom w:val="single" w:sz="8" w:space="0" w:color="0071C5"/>
            </w:tcBorders>
            <w:shd w:val="clear" w:color="auto" w:fill="auto"/>
            <w:tcMar>
              <w:top w:w="40" w:type="dxa"/>
              <w:left w:w="40" w:type="dxa"/>
              <w:bottom w:w="40" w:type="dxa"/>
              <w:right w:w="40" w:type="dxa"/>
            </w:tcMar>
            <w:vAlign w:val="bottom"/>
          </w:tcPr>
          <w:p w14:paraId="3750DC8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71C5"/>
            </w:tcBorders>
            <w:shd w:val="clear" w:color="auto" w:fill="auto"/>
            <w:tcMar>
              <w:top w:w="40" w:type="dxa"/>
              <w:left w:w="40" w:type="dxa"/>
              <w:bottom w:w="40" w:type="dxa"/>
              <w:right w:w="40" w:type="dxa"/>
            </w:tcMar>
            <w:vAlign w:val="bottom"/>
          </w:tcPr>
          <w:p w14:paraId="3750DC84" w14:textId="77777777" w:rsidR="002541AD" w:rsidRDefault="002541AD">
            <w:pPr>
              <w:rPr>
                <w:rFonts w:ascii="Times New Roman" w:hAnsi="Times New Roman"/>
                <w:sz w:val="20"/>
                <w:szCs w:val="20"/>
              </w:rPr>
            </w:pPr>
          </w:p>
        </w:tc>
      </w:tr>
      <w:tr w:rsidR="002541AD" w14:paraId="3750DC91"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DC86"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Three Months Ended</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DC8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3750DC8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DC8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DC8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DC8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DC8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DC8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DC8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DC8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DC9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C9D" w14:textId="77777777">
        <w:tc>
          <w:tcPr>
            <w:tcW w:w="0" w:type="auto"/>
            <w:shd w:val="clear" w:color="auto" w:fill="auto"/>
            <w:tcMar>
              <w:top w:w="40" w:type="dxa"/>
              <w:left w:w="40" w:type="dxa"/>
              <w:bottom w:w="40" w:type="dxa"/>
              <w:right w:w="40" w:type="dxa"/>
            </w:tcMar>
            <w:vAlign w:val="bottom"/>
          </w:tcPr>
          <w:p w14:paraId="3750DC9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C9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DC9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C9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C9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C9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C9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C9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C9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C9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C9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CB2" w14:textId="77777777">
        <w:tc>
          <w:tcPr>
            <w:tcW w:w="0" w:type="auto"/>
            <w:shd w:val="clear" w:color="auto" w:fill="auto"/>
            <w:tcMar>
              <w:top w:w="40" w:type="dxa"/>
              <w:left w:w="40" w:type="dxa"/>
              <w:bottom w:w="40" w:type="dxa"/>
              <w:right w:w="40" w:type="dxa"/>
            </w:tcMar>
            <w:vAlign w:val="bottom"/>
          </w:tcPr>
          <w:p w14:paraId="3750DC9E"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Balance as of December 29, 2019</w:t>
            </w:r>
          </w:p>
        </w:tc>
        <w:tc>
          <w:tcPr>
            <w:tcW w:w="0" w:type="auto"/>
            <w:shd w:val="clear" w:color="auto" w:fill="auto"/>
            <w:tcMar>
              <w:top w:w="40" w:type="dxa"/>
              <w:left w:w="40" w:type="dxa"/>
              <w:bottom w:w="40" w:type="dxa"/>
              <w:right w:w="40" w:type="dxa"/>
            </w:tcMar>
            <w:vAlign w:val="bottom"/>
          </w:tcPr>
          <w:p w14:paraId="3750DC9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CA0"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4,290</w:t>
            </w:r>
          </w:p>
        </w:tc>
        <w:tc>
          <w:tcPr>
            <w:tcW w:w="0" w:type="auto"/>
            <w:shd w:val="clear" w:color="auto" w:fill="auto"/>
            <w:vAlign w:val="bottom"/>
          </w:tcPr>
          <w:p w14:paraId="3750DCA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A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CA3"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3750DCA4"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25,261</w:t>
            </w:r>
          </w:p>
        </w:tc>
        <w:tc>
          <w:tcPr>
            <w:tcW w:w="0" w:type="auto"/>
            <w:shd w:val="clear" w:color="auto" w:fill="auto"/>
            <w:vAlign w:val="bottom"/>
          </w:tcPr>
          <w:p w14:paraId="3750DCA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A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CA7"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3750DCA8"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(1,280</w:t>
            </w:r>
          </w:p>
        </w:tc>
        <w:tc>
          <w:tcPr>
            <w:tcW w:w="0" w:type="auto"/>
            <w:shd w:val="clear" w:color="auto" w:fill="auto"/>
            <w:tcMar>
              <w:top w:w="40" w:type="dxa"/>
              <w:bottom w:w="40" w:type="dxa"/>
              <w:right w:w="40" w:type="dxa"/>
            </w:tcMar>
            <w:vAlign w:val="bottom"/>
          </w:tcPr>
          <w:p w14:paraId="3750DCA9"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3750DCA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CAB"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3750DCAC"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53,523</w:t>
            </w:r>
          </w:p>
        </w:tc>
        <w:tc>
          <w:tcPr>
            <w:tcW w:w="0" w:type="auto"/>
            <w:shd w:val="clear" w:color="auto" w:fill="auto"/>
            <w:vAlign w:val="bottom"/>
          </w:tcPr>
          <w:p w14:paraId="3750DCA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A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CAF"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3750DCB0"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77,504</w:t>
            </w:r>
          </w:p>
        </w:tc>
        <w:tc>
          <w:tcPr>
            <w:tcW w:w="0" w:type="auto"/>
            <w:shd w:val="clear" w:color="auto" w:fill="auto"/>
            <w:vAlign w:val="bottom"/>
          </w:tcPr>
          <w:p w14:paraId="3750DCB1" w14:textId="77777777" w:rsidR="002541AD" w:rsidRDefault="002541AD">
            <w:pPr>
              <w:textAlignment w:val="bottom"/>
              <w:rPr>
                <w:rFonts w:ascii="Times New Roman" w:hAnsi="Times New Roman"/>
                <w:sz w:val="20"/>
                <w:szCs w:val="20"/>
              </w:rPr>
            </w:pPr>
          </w:p>
        </w:tc>
      </w:tr>
      <w:tr w:rsidR="002541AD" w14:paraId="3750DCC3" w14:textId="77777777">
        <w:tc>
          <w:tcPr>
            <w:tcW w:w="0" w:type="auto"/>
            <w:shd w:val="clear" w:color="auto" w:fill="auto"/>
            <w:tcMar>
              <w:top w:w="40" w:type="dxa"/>
              <w:left w:w="40" w:type="dxa"/>
              <w:bottom w:w="40" w:type="dxa"/>
              <w:right w:w="40" w:type="dxa"/>
            </w:tcMar>
            <w:vAlign w:val="bottom"/>
          </w:tcPr>
          <w:p w14:paraId="3750DCB3"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Net income</w:t>
            </w:r>
          </w:p>
        </w:tc>
        <w:tc>
          <w:tcPr>
            <w:tcW w:w="0" w:type="auto"/>
            <w:shd w:val="clear" w:color="auto" w:fill="auto"/>
            <w:tcMar>
              <w:top w:w="40" w:type="dxa"/>
              <w:left w:w="40" w:type="dxa"/>
              <w:bottom w:w="40" w:type="dxa"/>
              <w:right w:w="40" w:type="dxa"/>
            </w:tcMar>
            <w:vAlign w:val="bottom"/>
          </w:tcPr>
          <w:p w14:paraId="3750DCB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CB5"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CB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B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CB8"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CB9"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B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CB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CB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B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CBE"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5,661</w:t>
            </w:r>
          </w:p>
        </w:tc>
        <w:tc>
          <w:tcPr>
            <w:tcW w:w="0" w:type="auto"/>
            <w:shd w:val="clear" w:color="auto" w:fill="auto"/>
            <w:vAlign w:val="bottom"/>
          </w:tcPr>
          <w:p w14:paraId="3750DCB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C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CC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5,661</w:t>
            </w:r>
          </w:p>
        </w:tc>
        <w:tc>
          <w:tcPr>
            <w:tcW w:w="0" w:type="auto"/>
            <w:shd w:val="clear" w:color="auto" w:fill="auto"/>
            <w:vAlign w:val="bottom"/>
          </w:tcPr>
          <w:p w14:paraId="3750DCC2" w14:textId="77777777" w:rsidR="002541AD" w:rsidRDefault="002541AD">
            <w:pPr>
              <w:textAlignment w:val="bottom"/>
              <w:rPr>
                <w:rFonts w:ascii="Times New Roman" w:hAnsi="Times New Roman"/>
                <w:sz w:val="20"/>
                <w:szCs w:val="20"/>
              </w:rPr>
            </w:pPr>
          </w:p>
        </w:tc>
      </w:tr>
      <w:tr w:rsidR="002541AD" w14:paraId="3750DCD4" w14:textId="77777777">
        <w:tc>
          <w:tcPr>
            <w:tcW w:w="0" w:type="auto"/>
            <w:shd w:val="clear" w:color="auto" w:fill="auto"/>
            <w:tcMar>
              <w:top w:w="40" w:type="dxa"/>
              <w:left w:w="40" w:type="dxa"/>
              <w:bottom w:w="40" w:type="dxa"/>
              <w:right w:w="40" w:type="dxa"/>
            </w:tcMar>
            <w:vAlign w:val="bottom"/>
          </w:tcPr>
          <w:p w14:paraId="3750DCC4"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Other comprehensive income (loss)</w:t>
            </w:r>
          </w:p>
        </w:tc>
        <w:tc>
          <w:tcPr>
            <w:tcW w:w="0" w:type="auto"/>
            <w:shd w:val="clear" w:color="auto" w:fill="auto"/>
            <w:tcMar>
              <w:top w:w="40" w:type="dxa"/>
              <w:left w:w="40" w:type="dxa"/>
              <w:bottom w:w="40" w:type="dxa"/>
              <w:right w:w="40" w:type="dxa"/>
            </w:tcMar>
            <w:vAlign w:val="bottom"/>
          </w:tcPr>
          <w:p w14:paraId="3750DCC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CC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CC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C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CC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CC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C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CCC"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(261</w:t>
            </w:r>
          </w:p>
        </w:tc>
        <w:tc>
          <w:tcPr>
            <w:tcW w:w="0" w:type="auto"/>
            <w:shd w:val="clear" w:color="auto" w:fill="auto"/>
            <w:tcMar>
              <w:top w:w="40" w:type="dxa"/>
              <w:bottom w:w="40" w:type="dxa"/>
              <w:right w:w="40" w:type="dxa"/>
            </w:tcMar>
            <w:vAlign w:val="bottom"/>
          </w:tcPr>
          <w:p w14:paraId="3750DCCD"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CC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CCF"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CD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D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CD2"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(261</w:t>
            </w:r>
          </w:p>
        </w:tc>
        <w:tc>
          <w:tcPr>
            <w:tcW w:w="0" w:type="auto"/>
            <w:shd w:val="clear" w:color="auto" w:fill="auto"/>
            <w:tcMar>
              <w:top w:w="40" w:type="dxa"/>
              <w:bottom w:w="40" w:type="dxa"/>
              <w:right w:w="40" w:type="dxa"/>
            </w:tcMar>
            <w:vAlign w:val="bottom"/>
          </w:tcPr>
          <w:p w14:paraId="3750DCD3"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r>
      <w:tr w:rsidR="002541AD" w14:paraId="3750DCE5" w14:textId="77777777">
        <w:tc>
          <w:tcPr>
            <w:tcW w:w="0" w:type="auto"/>
            <w:shd w:val="clear" w:color="auto" w:fill="auto"/>
            <w:tcMar>
              <w:top w:w="40" w:type="dxa"/>
              <w:left w:w="40" w:type="dxa"/>
              <w:bottom w:w="40" w:type="dxa"/>
              <w:right w:w="40" w:type="dxa"/>
            </w:tcMar>
            <w:vAlign w:val="bottom"/>
          </w:tcPr>
          <w:p w14:paraId="3750DCD5"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Employee equity incentive plans and other</w:t>
            </w:r>
          </w:p>
        </w:tc>
        <w:tc>
          <w:tcPr>
            <w:tcW w:w="0" w:type="auto"/>
            <w:shd w:val="clear" w:color="auto" w:fill="auto"/>
            <w:tcMar>
              <w:top w:w="40" w:type="dxa"/>
              <w:left w:w="40" w:type="dxa"/>
              <w:bottom w:w="40" w:type="dxa"/>
              <w:right w:w="40" w:type="dxa"/>
            </w:tcMar>
            <w:vAlign w:val="bottom"/>
          </w:tcPr>
          <w:p w14:paraId="3750DCD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CD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17</w:t>
            </w:r>
          </w:p>
        </w:tc>
        <w:tc>
          <w:tcPr>
            <w:tcW w:w="0" w:type="auto"/>
            <w:shd w:val="clear" w:color="auto" w:fill="auto"/>
            <w:vAlign w:val="bottom"/>
          </w:tcPr>
          <w:p w14:paraId="3750DCD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D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CD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620</w:t>
            </w:r>
          </w:p>
        </w:tc>
        <w:tc>
          <w:tcPr>
            <w:tcW w:w="0" w:type="auto"/>
            <w:shd w:val="clear" w:color="auto" w:fill="auto"/>
            <w:vAlign w:val="bottom"/>
          </w:tcPr>
          <w:p w14:paraId="3750DCD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D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CD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CD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D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CE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CE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E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CE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620</w:t>
            </w:r>
          </w:p>
        </w:tc>
        <w:tc>
          <w:tcPr>
            <w:tcW w:w="0" w:type="auto"/>
            <w:shd w:val="clear" w:color="auto" w:fill="auto"/>
            <w:vAlign w:val="bottom"/>
          </w:tcPr>
          <w:p w14:paraId="3750DCE4" w14:textId="77777777" w:rsidR="002541AD" w:rsidRDefault="002541AD">
            <w:pPr>
              <w:textAlignment w:val="bottom"/>
              <w:rPr>
                <w:rFonts w:ascii="Times New Roman" w:hAnsi="Times New Roman"/>
                <w:sz w:val="20"/>
                <w:szCs w:val="20"/>
              </w:rPr>
            </w:pPr>
          </w:p>
        </w:tc>
      </w:tr>
      <w:tr w:rsidR="002541AD" w14:paraId="3750DCF6" w14:textId="77777777">
        <w:tc>
          <w:tcPr>
            <w:tcW w:w="0" w:type="auto"/>
            <w:shd w:val="clear" w:color="auto" w:fill="auto"/>
            <w:tcMar>
              <w:top w:w="40" w:type="dxa"/>
              <w:left w:w="40" w:type="dxa"/>
              <w:bottom w:w="40" w:type="dxa"/>
              <w:right w:w="40" w:type="dxa"/>
            </w:tcMar>
            <w:vAlign w:val="bottom"/>
          </w:tcPr>
          <w:p w14:paraId="3750DCE6"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Share-based compensation</w:t>
            </w:r>
          </w:p>
        </w:tc>
        <w:tc>
          <w:tcPr>
            <w:tcW w:w="0" w:type="auto"/>
            <w:shd w:val="clear" w:color="auto" w:fill="auto"/>
            <w:tcMar>
              <w:top w:w="40" w:type="dxa"/>
              <w:left w:w="40" w:type="dxa"/>
              <w:bottom w:w="40" w:type="dxa"/>
              <w:right w:w="40" w:type="dxa"/>
            </w:tcMar>
            <w:vAlign w:val="bottom"/>
          </w:tcPr>
          <w:p w14:paraId="3750DCE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CE8"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CE9"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E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CE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449</w:t>
            </w:r>
          </w:p>
        </w:tc>
        <w:tc>
          <w:tcPr>
            <w:tcW w:w="0" w:type="auto"/>
            <w:shd w:val="clear" w:color="auto" w:fill="auto"/>
            <w:vAlign w:val="bottom"/>
          </w:tcPr>
          <w:p w14:paraId="3750DCE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E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CEE"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CE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F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CF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CF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F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CF4"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449</w:t>
            </w:r>
          </w:p>
        </w:tc>
        <w:tc>
          <w:tcPr>
            <w:tcW w:w="0" w:type="auto"/>
            <w:shd w:val="clear" w:color="auto" w:fill="auto"/>
            <w:vAlign w:val="bottom"/>
          </w:tcPr>
          <w:p w14:paraId="3750DCF5" w14:textId="77777777" w:rsidR="002541AD" w:rsidRDefault="002541AD">
            <w:pPr>
              <w:textAlignment w:val="bottom"/>
              <w:rPr>
                <w:rFonts w:ascii="Times New Roman" w:hAnsi="Times New Roman"/>
                <w:sz w:val="20"/>
                <w:szCs w:val="20"/>
              </w:rPr>
            </w:pPr>
          </w:p>
        </w:tc>
      </w:tr>
      <w:tr w:rsidR="002541AD" w14:paraId="3750DD07" w14:textId="77777777">
        <w:tc>
          <w:tcPr>
            <w:tcW w:w="0" w:type="auto"/>
            <w:shd w:val="clear" w:color="auto" w:fill="auto"/>
            <w:tcMar>
              <w:top w:w="40" w:type="dxa"/>
              <w:left w:w="40" w:type="dxa"/>
              <w:bottom w:w="40" w:type="dxa"/>
              <w:right w:w="40" w:type="dxa"/>
            </w:tcMar>
            <w:vAlign w:val="bottom"/>
          </w:tcPr>
          <w:p w14:paraId="3750DCF7"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Temporary equity reduction</w:t>
            </w:r>
          </w:p>
        </w:tc>
        <w:tc>
          <w:tcPr>
            <w:tcW w:w="0" w:type="auto"/>
            <w:shd w:val="clear" w:color="auto" w:fill="auto"/>
            <w:tcMar>
              <w:top w:w="40" w:type="dxa"/>
              <w:left w:w="40" w:type="dxa"/>
              <w:bottom w:w="40" w:type="dxa"/>
              <w:right w:w="40" w:type="dxa"/>
            </w:tcMar>
            <w:vAlign w:val="bottom"/>
          </w:tcPr>
          <w:p w14:paraId="3750DCF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CF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CF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F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CFC"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155</w:t>
            </w:r>
          </w:p>
        </w:tc>
        <w:tc>
          <w:tcPr>
            <w:tcW w:w="0" w:type="auto"/>
            <w:shd w:val="clear" w:color="auto" w:fill="auto"/>
            <w:vAlign w:val="bottom"/>
          </w:tcPr>
          <w:p w14:paraId="3750DCF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CF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CFF"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D0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0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02"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D0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0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05"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155</w:t>
            </w:r>
          </w:p>
        </w:tc>
        <w:tc>
          <w:tcPr>
            <w:tcW w:w="0" w:type="auto"/>
            <w:shd w:val="clear" w:color="auto" w:fill="auto"/>
            <w:vAlign w:val="bottom"/>
          </w:tcPr>
          <w:p w14:paraId="3750DD06" w14:textId="77777777" w:rsidR="002541AD" w:rsidRDefault="002541AD">
            <w:pPr>
              <w:textAlignment w:val="bottom"/>
              <w:rPr>
                <w:rFonts w:ascii="Times New Roman" w:hAnsi="Times New Roman"/>
                <w:sz w:val="20"/>
                <w:szCs w:val="20"/>
              </w:rPr>
            </w:pPr>
          </w:p>
        </w:tc>
      </w:tr>
      <w:tr w:rsidR="002541AD" w14:paraId="3750DD18" w14:textId="77777777">
        <w:tc>
          <w:tcPr>
            <w:tcW w:w="0" w:type="auto"/>
            <w:shd w:val="clear" w:color="auto" w:fill="auto"/>
            <w:tcMar>
              <w:top w:w="40" w:type="dxa"/>
              <w:left w:w="40" w:type="dxa"/>
              <w:bottom w:w="40" w:type="dxa"/>
              <w:right w:w="40" w:type="dxa"/>
            </w:tcMar>
            <w:vAlign w:val="bottom"/>
          </w:tcPr>
          <w:p w14:paraId="3750DD08"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Convertible debt</w:t>
            </w:r>
          </w:p>
        </w:tc>
        <w:tc>
          <w:tcPr>
            <w:tcW w:w="0" w:type="auto"/>
            <w:shd w:val="clear" w:color="auto" w:fill="auto"/>
            <w:tcMar>
              <w:top w:w="40" w:type="dxa"/>
              <w:left w:w="40" w:type="dxa"/>
              <w:bottom w:w="40" w:type="dxa"/>
              <w:right w:w="40" w:type="dxa"/>
            </w:tcMar>
            <w:vAlign w:val="bottom"/>
          </w:tcPr>
          <w:p w14:paraId="3750DD0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D0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D0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0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0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(750</w:t>
            </w:r>
          </w:p>
        </w:tc>
        <w:tc>
          <w:tcPr>
            <w:tcW w:w="0" w:type="auto"/>
            <w:shd w:val="clear" w:color="auto" w:fill="auto"/>
            <w:tcMar>
              <w:top w:w="40" w:type="dxa"/>
              <w:bottom w:w="40" w:type="dxa"/>
              <w:right w:w="40" w:type="dxa"/>
            </w:tcMar>
            <w:vAlign w:val="bottom"/>
          </w:tcPr>
          <w:p w14:paraId="3750DD0E"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D0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1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D1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1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1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D1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1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1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(750</w:t>
            </w:r>
          </w:p>
        </w:tc>
        <w:tc>
          <w:tcPr>
            <w:tcW w:w="0" w:type="auto"/>
            <w:shd w:val="clear" w:color="auto" w:fill="auto"/>
            <w:tcMar>
              <w:top w:w="40" w:type="dxa"/>
              <w:bottom w:w="40" w:type="dxa"/>
              <w:right w:w="40" w:type="dxa"/>
            </w:tcMar>
            <w:vAlign w:val="bottom"/>
          </w:tcPr>
          <w:p w14:paraId="3750DD17"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r>
      <w:tr w:rsidR="002541AD" w14:paraId="3750DD29" w14:textId="77777777">
        <w:tc>
          <w:tcPr>
            <w:tcW w:w="0" w:type="auto"/>
            <w:shd w:val="clear" w:color="auto" w:fill="auto"/>
            <w:tcMar>
              <w:top w:w="40" w:type="dxa"/>
              <w:left w:w="40" w:type="dxa"/>
              <w:bottom w:w="40" w:type="dxa"/>
              <w:right w:w="40" w:type="dxa"/>
            </w:tcMar>
            <w:vAlign w:val="bottom"/>
          </w:tcPr>
          <w:p w14:paraId="3750DD19"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Repurchase of common stock</w:t>
            </w:r>
          </w:p>
        </w:tc>
        <w:tc>
          <w:tcPr>
            <w:tcW w:w="0" w:type="auto"/>
            <w:shd w:val="clear" w:color="auto" w:fill="auto"/>
            <w:tcMar>
              <w:top w:w="40" w:type="dxa"/>
              <w:left w:w="40" w:type="dxa"/>
              <w:bottom w:w="40" w:type="dxa"/>
              <w:right w:w="40" w:type="dxa"/>
            </w:tcMar>
            <w:vAlign w:val="bottom"/>
          </w:tcPr>
          <w:p w14:paraId="3750DD1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D1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(71</w:t>
            </w:r>
          </w:p>
        </w:tc>
        <w:tc>
          <w:tcPr>
            <w:tcW w:w="0" w:type="auto"/>
            <w:shd w:val="clear" w:color="auto" w:fill="auto"/>
            <w:tcMar>
              <w:top w:w="40" w:type="dxa"/>
              <w:bottom w:w="40" w:type="dxa"/>
              <w:right w:w="40" w:type="dxa"/>
            </w:tcMar>
            <w:vAlign w:val="bottom"/>
          </w:tcPr>
          <w:p w14:paraId="3750DD1C"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D1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1E"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(420</w:t>
            </w:r>
          </w:p>
        </w:tc>
        <w:tc>
          <w:tcPr>
            <w:tcW w:w="0" w:type="auto"/>
            <w:shd w:val="clear" w:color="auto" w:fill="auto"/>
            <w:tcMar>
              <w:top w:w="40" w:type="dxa"/>
              <w:bottom w:w="40" w:type="dxa"/>
              <w:right w:w="40" w:type="dxa"/>
            </w:tcMar>
            <w:vAlign w:val="bottom"/>
          </w:tcPr>
          <w:p w14:paraId="3750DD1F"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D2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2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D2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2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24"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(3,689</w:t>
            </w:r>
          </w:p>
        </w:tc>
        <w:tc>
          <w:tcPr>
            <w:tcW w:w="0" w:type="auto"/>
            <w:shd w:val="clear" w:color="auto" w:fill="auto"/>
            <w:tcMar>
              <w:top w:w="40" w:type="dxa"/>
              <w:bottom w:w="40" w:type="dxa"/>
              <w:right w:w="40" w:type="dxa"/>
            </w:tcMar>
            <w:vAlign w:val="bottom"/>
          </w:tcPr>
          <w:p w14:paraId="3750DD25"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D2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2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(4,109</w:t>
            </w:r>
          </w:p>
        </w:tc>
        <w:tc>
          <w:tcPr>
            <w:tcW w:w="0" w:type="auto"/>
            <w:shd w:val="clear" w:color="auto" w:fill="auto"/>
            <w:tcMar>
              <w:top w:w="40" w:type="dxa"/>
              <w:bottom w:w="40" w:type="dxa"/>
              <w:right w:w="40" w:type="dxa"/>
            </w:tcMar>
            <w:vAlign w:val="bottom"/>
          </w:tcPr>
          <w:p w14:paraId="3750DD28"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r>
      <w:tr w:rsidR="002541AD" w14:paraId="3750DD3A" w14:textId="77777777">
        <w:tc>
          <w:tcPr>
            <w:tcW w:w="0" w:type="auto"/>
            <w:shd w:val="clear" w:color="auto" w:fill="auto"/>
            <w:tcMar>
              <w:top w:w="40" w:type="dxa"/>
              <w:left w:w="40" w:type="dxa"/>
              <w:bottom w:w="40" w:type="dxa"/>
              <w:right w:w="40" w:type="dxa"/>
            </w:tcMar>
            <w:vAlign w:val="bottom"/>
          </w:tcPr>
          <w:p w14:paraId="3750DD2A"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Restricted stock unit withholdings</w:t>
            </w:r>
          </w:p>
        </w:tc>
        <w:tc>
          <w:tcPr>
            <w:tcW w:w="0" w:type="auto"/>
            <w:shd w:val="clear" w:color="auto" w:fill="auto"/>
            <w:tcMar>
              <w:top w:w="40" w:type="dxa"/>
              <w:left w:w="40" w:type="dxa"/>
              <w:bottom w:w="40" w:type="dxa"/>
              <w:right w:w="40" w:type="dxa"/>
            </w:tcMar>
            <w:vAlign w:val="bottom"/>
          </w:tcPr>
          <w:p w14:paraId="3750DD2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D2C"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w:t>
            </w:r>
          </w:p>
        </w:tc>
        <w:tc>
          <w:tcPr>
            <w:tcW w:w="0" w:type="auto"/>
            <w:shd w:val="clear" w:color="auto" w:fill="auto"/>
            <w:tcMar>
              <w:top w:w="40" w:type="dxa"/>
              <w:bottom w:w="40" w:type="dxa"/>
              <w:right w:w="40" w:type="dxa"/>
            </w:tcMar>
            <w:vAlign w:val="bottom"/>
          </w:tcPr>
          <w:p w14:paraId="3750DD2D"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D2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2F"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(64</w:t>
            </w:r>
          </w:p>
        </w:tc>
        <w:tc>
          <w:tcPr>
            <w:tcW w:w="0" w:type="auto"/>
            <w:shd w:val="clear" w:color="auto" w:fill="auto"/>
            <w:tcMar>
              <w:top w:w="40" w:type="dxa"/>
              <w:bottom w:w="40" w:type="dxa"/>
              <w:right w:w="40" w:type="dxa"/>
            </w:tcMar>
            <w:vAlign w:val="bottom"/>
          </w:tcPr>
          <w:p w14:paraId="3750DD30"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D3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32"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D3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3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35"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(32</w:t>
            </w:r>
          </w:p>
        </w:tc>
        <w:tc>
          <w:tcPr>
            <w:tcW w:w="0" w:type="auto"/>
            <w:shd w:val="clear" w:color="auto" w:fill="auto"/>
            <w:tcMar>
              <w:top w:w="40" w:type="dxa"/>
              <w:bottom w:w="40" w:type="dxa"/>
              <w:right w:w="40" w:type="dxa"/>
            </w:tcMar>
            <w:vAlign w:val="bottom"/>
          </w:tcPr>
          <w:p w14:paraId="3750DD36"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D3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38"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(96</w:t>
            </w:r>
          </w:p>
        </w:tc>
        <w:tc>
          <w:tcPr>
            <w:tcW w:w="0" w:type="auto"/>
            <w:shd w:val="clear" w:color="auto" w:fill="auto"/>
            <w:tcMar>
              <w:top w:w="40" w:type="dxa"/>
              <w:bottom w:w="40" w:type="dxa"/>
              <w:right w:w="40" w:type="dxa"/>
            </w:tcMar>
            <w:vAlign w:val="bottom"/>
          </w:tcPr>
          <w:p w14:paraId="3750DD39"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r>
      <w:tr w:rsidR="002541AD" w14:paraId="3750DD4B" w14:textId="77777777">
        <w:tc>
          <w:tcPr>
            <w:tcW w:w="0" w:type="auto"/>
            <w:shd w:val="clear" w:color="auto" w:fill="auto"/>
            <w:tcMar>
              <w:top w:w="40" w:type="dxa"/>
              <w:left w:w="40" w:type="dxa"/>
              <w:bottom w:w="40" w:type="dxa"/>
              <w:right w:w="40" w:type="dxa"/>
            </w:tcMar>
            <w:vAlign w:val="bottom"/>
          </w:tcPr>
          <w:p w14:paraId="3750DD3B"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Cash dividends declared ($0.66 per share)</w:t>
            </w:r>
          </w:p>
        </w:tc>
        <w:tc>
          <w:tcPr>
            <w:tcW w:w="0" w:type="auto"/>
            <w:shd w:val="clear" w:color="auto" w:fill="auto"/>
            <w:tcMar>
              <w:top w:w="40" w:type="dxa"/>
              <w:left w:w="40" w:type="dxa"/>
              <w:bottom w:w="40" w:type="dxa"/>
              <w:right w:w="40" w:type="dxa"/>
            </w:tcMar>
            <w:vAlign w:val="bottom"/>
          </w:tcPr>
          <w:p w14:paraId="3750DD3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tcMar>
            <w:vAlign w:val="bottom"/>
          </w:tcPr>
          <w:p w14:paraId="3750DD3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bottom w:val="single" w:sz="8" w:space="0" w:color="333333"/>
            </w:tcBorders>
            <w:shd w:val="clear" w:color="auto" w:fill="auto"/>
            <w:vAlign w:val="bottom"/>
          </w:tcPr>
          <w:p w14:paraId="3750DD3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3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4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D4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4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4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DD4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4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4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(2,819</w:t>
            </w:r>
          </w:p>
        </w:tc>
        <w:tc>
          <w:tcPr>
            <w:tcW w:w="0" w:type="auto"/>
            <w:shd w:val="clear" w:color="auto" w:fill="auto"/>
            <w:tcMar>
              <w:top w:w="40" w:type="dxa"/>
              <w:bottom w:w="40" w:type="dxa"/>
              <w:right w:w="40" w:type="dxa"/>
            </w:tcMar>
            <w:vAlign w:val="bottom"/>
          </w:tcPr>
          <w:p w14:paraId="3750DD47"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DD4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4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(2,819</w:t>
            </w:r>
          </w:p>
        </w:tc>
        <w:tc>
          <w:tcPr>
            <w:tcW w:w="0" w:type="auto"/>
            <w:shd w:val="clear" w:color="auto" w:fill="auto"/>
            <w:tcMar>
              <w:top w:w="40" w:type="dxa"/>
              <w:bottom w:w="40" w:type="dxa"/>
              <w:right w:w="40" w:type="dxa"/>
            </w:tcMar>
            <w:vAlign w:val="bottom"/>
          </w:tcPr>
          <w:p w14:paraId="3750DD4A"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r>
      <w:tr w:rsidR="002541AD" w14:paraId="3750DD60" w14:textId="77777777">
        <w:tc>
          <w:tcPr>
            <w:tcW w:w="0" w:type="auto"/>
            <w:shd w:val="clear" w:color="auto" w:fill="auto"/>
            <w:tcMar>
              <w:top w:w="40" w:type="dxa"/>
              <w:left w:w="40" w:type="dxa"/>
              <w:bottom w:w="40" w:type="dxa"/>
              <w:right w:w="40" w:type="dxa"/>
            </w:tcMar>
            <w:vAlign w:val="bottom"/>
          </w:tcPr>
          <w:p w14:paraId="3750DD4C"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Balance as of March 28, 2020</w:t>
            </w:r>
          </w:p>
        </w:tc>
        <w:tc>
          <w:tcPr>
            <w:tcW w:w="0" w:type="auto"/>
            <w:shd w:val="clear" w:color="auto" w:fill="auto"/>
            <w:tcMar>
              <w:top w:w="40" w:type="dxa"/>
              <w:left w:w="40" w:type="dxa"/>
              <w:bottom w:w="40" w:type="dxa"/>
              <w:right w:w="40" w:type="dxa"/>
            </w:tcMar>
            <w:vAlign w:val="bottom"/>
          </w:tcPr>
          <w:p w14:paraId="3750DD4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DD4E"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4,234</w:t>
            </w:r>
          </w:p>
        </w:tc>
        <w:tc>
          <w:tcPr>
            <w:tcW w:w="0" w:type="auto"/>
            <w:tcBorders>
              <w:top w:val="single" w:sz="8" w:space="0" w:color="333333"/>
              <w:bottom w:val="double" w:sz="6" w:space="0" w:color="333333"/>
            </w:tcBorders>
            <w:shd w:val="clear" w:color="auto" w:fill="auto"/>
            <w:vAlign w:val="bottom"/>
          </w:tcPr>
          <w:p w14:paraId="3750DD4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5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DD51"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DD52"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25,251</w:t>
            </w:r>
          </w:p>
        </w:tc>
        <w:tc>
          <w:tcPr>
            <w:tcW w:w="0" w:type="auto"/>
            <w:tcBorders>
              <w:top w:val="single" w:sz="8" w:space="0" w:color="333333"/>
              <w:bottom w:val="double" w:sz="6" w:space="0" w:color="333333"/>
            </w:tcBorders>
            <w:shd w:val="clear" w:color="auto" w:fill="auto"/>
            <w:vAlign w:val="bottom"/>
          </w:tcPr>
          <w:p w14:paraId="3750DD5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5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DD55"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DD56"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(1,541</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DD57"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3750DD5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DD59"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DD5A"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52,644</w:t>
            </w:r>
          </w:p>
        </w:tc>
        <w:tc>
          <w:tcPr>
            <w:tcW w:w="0" w:type="auto"/>
            <w:tcBorders>
              <w:top w:val="single" w:sz="8" w:space="0" w:color="333333"/>
              <w:bottom w:val="double" w:sz="6" w:space="0" w:color="333333"/>
            </w:tcBorders>
            <w:shd w:val="clear" w:color="auto" w:fill="auto"/>
            <w:vAlign w:val="bottom"/>
          </w:tcPr>
          <w:p w14:paraId="3750DD5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5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DD5D"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DD5E"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76,354</w:t>
            </w:r>
          </w:p>
        </w:tc>
        <w:tc>
          <w:tcPr>
            <w:tcW w:w="0" w:type="auto"/>
            <w:tcBorders>
              <w:top w:val="single" w:sz="8" w:space="0" w:color="333333"/>
              <w:bottom w:val="double" w:sz="6" w:space="0" w:color="333333"/>
            </w:tcBorders>
            <w:shd w:val="clear" w:color="auto" w:fill="auto"/>
            <w:vAlign w:val="bottom"/>
          </w:tcPr>
          <w:p w14:paraId="3750DD5F" w14:textId="77777777" w:rsidR="002541AD" w:rsidRDefault="002541AD">
            <w:pPr>
              <w:textAlignment w:val="bottom"/>
              <w:rPr>
                <w:rFonts w:ascii="Times New Roman" w:hAnsi="Times New Roman"/>
                <w:sz w:val="20"/>
                <w:szCs w:val="20"/>
              </w:rPr>
            </w:pPr>
          </w:p>
        </w:tc>
      </w:tr>
      <w:tr w:rsidR="002541AD" w14:paraId="3750DD6C" w14:textId="77777777">
        <w:tc>
          <w:tcPr>
            <w:tcW w:w="0" w:type="auto"/>
            <w:shd w:val="clear" w:color="auto" w:fill="auto"/>
            <w:tcMar>
              <w:top w:w="40" w:type="dxa"/>
              <w:left w:w="40" w:type="dxa"/>
              <w:bottom w:w="40" w:type="dxa"/>
              <w:right w:w="40" w:type="dxa"/>
            </w:tcMar>
            <w:vAlign w:val="bottom"/>
          </w:tcPr>
          <w:p w14:paraId="3750DD6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D6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DD6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D6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D6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D6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D6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D6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D6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D6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D6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D81" w14:textId="77777777">
        <w:tc>
          <w:tcPr>
            <w:tcW w:w="0" w:type="auto"/>
            <w:shd w:val="clear" w:color="auto" w:fill="auto"/>
            <w:tcMar>
              <w:top w:w="40" w:type="dxa"/>
              <w:left w:w="40" w:type="dxa"/>
              <w:bottom w:w="40" w:type="dxa"/>
              <w:right w:w="40" w:type="dxa"/>
            </w:tcMar>
            <w:vAlign w:val="bottom"/>
          </w:tcPr>
          <w:p w14:paraId="3750DD6D"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Balance as of December 28, 2018</w:t>
            </w:r>
          </w:p>
        </w:tc>
        <w:tc>
          <w:tcPr>
            <w:tcW w:w="0" w:type="auto"/>
            <w:shd w:val="clear" w:color="auto" w:fill="auto"/>
            <w:tcMar>
              <w:top w:w="40" w:type="dxa"/>
              <w:left w:w="40" w:type="dxa"/>
              <w:bottom w:w="40" w:type="dxa"/>
              <w:right w:w="40" w:type="dxa"/>
            </w:tcMar>
            <w:vAlign w:val="bottom"/>
          </w:tcPr>
          <w:p w14:paraId="3750DD6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D6F"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4,516</w:t>
            </w:r>
          </w:p>
        </w:tc>
        <w:tc>
          <w:tcPr>
            <w:tcW w:w="0" w:type="auto"/>
            <w:shd w:val="clear" w:color="auto" w:fill="auto"/>
            <w:vAlign w:val="bottom"/>
          </w:tcPr>
          <w:p w14:paraId="3750DD7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7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D72"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3750DD73"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25,365</w:t>
            </w:r>
          </w:p>
        </w:tc>
        <w:tc>
          <w:tcPr>
            <w:tcW w:w="0" w:type="auto"/>
            <w:shd w:val="clear" w:color="auto" w:fill="auto"/>
            <w:vAlign w:val="bottom"/>
          </w:tcPr>
          <w:p w14:paraId="3750DD7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7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D76"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3750DD77"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(974</w:t>
            </w:r>
          </w:p>
        </w:tc>
        <w:tc>
          <w:tcPr>
            <w:tcW w:w="0" w:type="auto"/>
            <w:shd w:val="clear" w:color="auto" w:fill="auto"/>
            <w:tcMar>
              <w:top w:w="40" w:type="dxa"/>
              <w:bottom w:w="40" w:type="dxa"/>
              <w:right w:w="40" w:type="dxa"/>
            </w:tcMar>
            <w:vAlign w:val="bottom"/>
          </w:tcPr>
          <w:p w14:paraId="3750DD78"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3750DD7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D7A"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3750DD7B"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50,172</w:t>
            </w:r>
          </w:p>
        </w:tc>
        <w:tc>
          <w:tcPr>
            <w:tcW w:w="0" w:type="auto"/>
            <w:shd w:val="clear" w:color="auto" w:fill="auto"/>
            <w:vAlign w:val="bottom"/>
          </w:tcPr>
          <w:p w14:paraId="3750DD7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7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D7E"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3750DD7F"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74,563</w:t>
            </w:r>
          </w:p>
        </w:tc>
        <w:tc>
          <w:tcPr>
            <w:tcW w:w="0" w:type="auto"/>
            <w:shd w:val="clear" w:color="auto" w:fill="auto"/>
            <w:vAlign w:val="bottom"/>
          </w:tcPr>
          <w:p w14:paraId="3750DD80" w14:textId="77777777" w:rsidR="002541AD" w:rsidRDefault="002541AD">
            <w:pPr>
              <w:textAlignment w:val="bottom"/>
              <w:rPr>
                <w:rFonts w:ascii="Times New Roman" w:hAnsi="Times New Roman"/>
                <w:sz w:val="20"/>
                <w:szCs w:val="20"/>
              </w:rPr>
            </w:pPr>
          </w:p>
        </w:tc>
      </w:tr>
      <w:tr w:rsidR="002541AD" w14:paraId="3750DD92" w14:textId="77777777">
        <w:tc>
          <w:tcPr>
            <w:tcW w:w="0" w:type="auto"/>
            <w:shd w:val="clear" w:color="auto" w:fill="auto"/>
            <w:tcMar>
              <w:top w:w="40" w:type="dxa"/>
              <w:left w:w="40" w:type="dxa"/>
              <w:bottom w:w="40" w:type="dxa"/>
              <w:right w:w="40" w:type="dxa"/>
            </w:tcMar>
            <w:vAlign w:val="bottom"/>
          </w:tcPr>
          <w:p w14:paraId="3750DD82"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Net income</w:t>
            </w:r>
          </w:p>
        </w:tc>
        <w:tc>
          <w:tcPr>
            <w:tcW w:w="0" w:type="auto"/>
            <w:shd w:val="clear" w:color="auto" w:fill="auto"/>
            <w:tcMar>
              <w:top w:w="40" w:type="dxa"/>
              <w:left w:w="40" w:type="dxa"/>
              <w:bottom w:w="40" w:type="dxa"/>
              <w:right w:w="40" w:type="dxa"/>
            </w:tcMar>
            <w:vAlign w:val="bottom"/>
          </w:tcPr>
          <w:p w14:paraId="3750DD8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D8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D8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8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87"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D8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8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8A"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D8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8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8D"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3,974</w:t>
            </w:r>
          </w:p>
        </w:tc>
        <w:tc>
          <w:tcPr>
            <w:tcW w:w="0" w:type="auto"/>
            <w:shd w:val="clear" w:color="auto" w:fill="auto"/>
            <w:vAlign w:val="bottom"/>
          </w:tcPr>
          <w:p w14:paraId="3750DD8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8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90"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3,974</w:t>
            </w:r>
          </w:p>
        </w:tc>
        <w:tc>
          <w:tcPr>
            <w:tcW w:w="0" w:type="auto"/>
            <w:shd w:val="clear" w:color="auto" w:fill="auto"/>
            <w:vAlign w:val="bottom"/>
          </w:tcPr>
          <w:p w14:paraId="3750DD91" w14:textId="77777777" w:rsidR="002541AD" w:rsidRDefault="002541AD">
            <w:pPr>
              <w:textAlignment w:val="bottom"/>
              <w:rPr>
                <w:rFonts w:ascii="Times New Roman" w:hAnsi="Times New Roman"/>
                <w:sz w:val="20"/>
                <w:szCs w:val="20"/>
              </w:rPr>
            </w:pPr>
          </w:p>
        </w:tc>
      </w:tr>
      <w:tr w:rsidR="002541AD" w14:paraId="3750DDA3" w14:textId="77777777">
        <w:tc>
          <w:tcPr>
            <w:tcW w:w="0" w:type="auto"/>
            <w:shd w:val="clear" w:color="auto" w:fill="auto"/>
            <w:tcMar>
              <w:top w:w="40" w:type="dxa"/>
              <w:left w:w="40" w:type="dxa"/>
              <w:bottom w:w="40" w:type="dxa"/>
              <w:right w:w="40" w:type="dxa"/>
            </w:tcMar>
            <w:vAlign w:val="bottom"/>
          </w:tcPr>
          <w:p w14:paraId="3750DD93"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Other comprehensive income (loss)</w:t>
            </w:r>
          </w:p>
        </w:tc>
        <w:tc>
          <w:tcPr>
            <w:tcW w:w="0" w:type="auto"/>
            <w:shd w:val="clear" w:color="auto" w:fill="auto"/>
            <w:tcMar>
              <w:top w:w="40" w:type="dxa"/>
              <w:left w:w="40" w:type="dxa"/>
              <w:bottom w:w="40" w:type="dxa"/>
              <w:right w:w="40" w:type="dxa"/>
            </w:tcMar>
            <w:vAlign w:val="bottom"/>
          </w:tcPr>
          <w:p w14:paraId="3750DD9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D95"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D9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9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9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D99"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9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9B"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161</w:t>
            </w:r>
          </w:p>
        </w:tc>
        <w:tc>
          <w:tcPr>
            <w:tcW w:w="0" w:type="auto"/>
            <w:shd w:val="clear" w:color="auto" w:fill="auto"/>
            <w:vAlign w:val="bottom"/>
          </w:tcPr>
          <w:p w14:paraId="3750DD9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9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9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D9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A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A1"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161</w:t>
            </w:r>
          </w:p>
        </w:tc>
        <w:tc>
          <w:tcPr>
            <w:tcW w:w="0" w:type="auto"/>
            <w:shd w:val="clear" w:color="auto" w:fill="auto"/>
            <w:vAlign w:val="bottom"/>
          </w:tcPr>
          <w:p w14:paraId="3750DDA2" w14:textId="77777777" w:rsidR="002541AD" w:rsidRDefault="002541AD">
            <w:pPr>
              <w:textAlignment w:val="bottom"/>
              <w:rPr>
                <w:rFonts w:ascii="Times New Roman" w:hAnsi="Times New Roman"/>
                <w:sz w:val="20"/>
                <w:szCs w:val="20"/>
              </w:rPr>
            </w:pPr>
          </w:p>
        </w:tc>
      </w:tr>
      <w:tr w:rsidR="002541AD" w14:paraId="3750DDB4" w14:textId="77777777">
        <w:tc>
          <w:tcPr>
            <w:tcW w:w="0" w:type="auto"/>
            <w:shd w:val="clear" w:color="auto" w:fill="auto"/>
            <w:tcMar>
              <w:top w:w="40" w:type="dxa"/>
              <w:left w:w="40" w:type="dxa"/>
              <w:bottom w:w="40" w:type="dxa"/>
              <w:right w:w="40" w:type="dxa"/>
            </w:tcMar>
            <w:vAlign w:val="bottom"/>
          </w:tcPr>
          <w:p w14:paraId="3750DDA4"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Employee equity incentive plans and other</w:t>
            </w:r>
          </w:p>
        </w:tc>
        <w:tc>
          <w:tcPr>
            <w:tcW w:w="0" w:type="auto"/>
            <w:shd w:val="clear" w:color="auto" w:fill="auto"/>
            <w:tcMar>
              <w:top w:w="40" w:type="dxa"/>
              <w:left w:w="40" w:type="dxa"/>
              <w:bottom w:w="40" w:type="dxa"/>
              <w:right w:w="40" w:type="dxa"/>
            </w:tcMar>
            <w:vAlign w:val="bottom"/>
          </w:tcPr>
          <w:p w14:paraId="3750DDA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DA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11</w:t>
            </w:r>
          </w:p>
        </w:tc>
        <w:tc>
          <w:tcPr>
            <w:tcW w:w="0" w:type="auto"/>
            <w:shd w:val="clear" w:color="auto" w:fill="auto"/>
            <w:vAlign w:val="bottom"/>
          </w:tcPr>
          <w:p w14:paraId="3750DDA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A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A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372</w:t>
            </w:r>
          </w:p>
        </w:tc>
        <w:tc>
          <w:tcPr>
            <w:tcW w:w="0" w:type="auto"/>
            <w:shd w:val="clear" w:color="auto" w:fill="auto"/>
            <w:vAlign w:val="bottom"/>
          </w:tcPr>
          <w:p w14:paraId="3750DDA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A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A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DA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A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A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DB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B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B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372</w:t>
            </w:r>
          </w:p>
        </w:tc>
        <w:tc>
          <w:tcPr>
            <w:tcW w:w="0" w:type="auto"/>
            <w:shd w:val="clear" w:color="auto" w:fill="auto"/>
            <w:vAlign w:val="bottom"/>
          </w:tcPr>
          <w:p w14:paraId="3750DDB3" w14:textId="77777777" w:rsidR="002541AD" w:rsidRDefault="002541AD">
            <w:pPr>
              <w:textAlignment w:val="bottom"/>
              <w:rPr>
                <w:rFonts w:ascii="Times New Roman" w:hAnsi="Times New Roman"/>
                <w:sz w:val="20"/>
                <w:szCs w:val="20"/>
              </w:rPr>
            </w:pPr>
          </w:p>
        </w:tc>
      </w:tr>
      <w:tr w:rsidR="002541AD" w14:paraId="3750DDC5" w14:textId="77777777">
        <w:tc>
          <w:tcPr>
            <w:tcW w:w="0" w:type="auto"/>
            <w:shd w:val="clear" w:color="auto" w:fill="auto"/>
            <w:tcMar>
              <w:top w:w="40" w:type="dxa"/>
              <w:left w:w="40" w:type="dxa"/>
              <w:bottom w:w="40" w:type="dxa"/>
              <w:right w:w="40" w:type="dxa"/>
            </w:tcMar>
            <w:vAlign w:val="bottom"/>
          </w:tcPr>
          <w:p w14:paraId="3750DDB5"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Share-based compensation</w:t>
            </w:r>
          </w:p>
        </w:tc>
        <w:tc>
          <w:tcPr>
            <w:tcW w:w="0" w:type="auto"/>
            <w:shd w:val="clear" w:color="auto" w:fill="auto"/>
            <w:tcMar>
              <w:top w:w="40" w:type="dxa"/>
              <w:left w:w="40" w:type="dxa"/>
              <w:bottom w:w="40" w:type="dxa"/>
              <w:right w:w="40" w:type="dxa"/>
            </w:tcMar>
            <w:vAlign w:val="bottom"/>
          </w:tcPr>
          <w:p w14:paraId="3750DDB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DB7"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DB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B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BA"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389</w:t>
            </w:r>
          </w:p>
        </w:tc>
        <w:tc>
          <w:tcPr>
            <w:tcW w:w="0" w:type="auto"/>
            <w:shd w:val="clear" w:color="auto" w:fill="auto"/>
            <w:vAlign w:val="bottom"/>
          </w:tcPr>
          <w:p w14:paraId="3750DDB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B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BD"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DB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B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C0"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DC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C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C3"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389</w:t>
            </w:r>
          </w:p>
        </w:tc>
        <w:tc>
          <w:tcPr>
            <w:tcW w:w="0" w:type="auto"/>
            <w:shd w:val="clear" w:color="auto" w:fill="auto"/>
            <w:vAlign w:val="bottom"/>
          </w:tcPr>
          <w:p w14:paraId="3750DDC4" w14:textId="77777777" w:rsidR="002541AD" w:rsidRDefault="002541AD">
            <w:pPr>
              <w:textAlignment w:val="bottom"/>
              <w:rPr>
                <w:rFonts w:ascii="Times New Roman" w:hAnsi="Times New Roman"/>
                <w:sz w:val="20"/>
                <w:szCs w:val="20"/>
              </w:rPr>
            </w:pPr>
          </w:p>
        </w:tc>
      </w:tr>
      <w:tr w:rsidR="002541AD" w14:paraId="3750DDD6" w14:textId="77777777">
        <w:tc>
          <w:tcPr>
            <w:tcW w:w="0" w:type="auto"/>
            <w:shd w:val="clear" w:color="auto" w:fill="auto"/>
            <w:tcMar>
              <w:top w:w="40" w:type="dxa"/>
              <w:left w:w="40" w:type="dxa"/>
              <w:bottom w:w="40" w:type="dxa"/>
              <w:right w:w="40" w:type="dxa"/>
            </w:tcMar>
            <w:vAlign w:val="bottom"/>
          </w:tcPr>
          <w:p w14:paraId="3750DDC6"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Temporary equity reduction</w:t>
            </w:r>
          </w:p>
        </w:tc>
        <w:tc>
          <w:tcPr>
            <w:tcW w:w="0" w:type="auto"/>
            <w:shd w:val="clear" w:color="auto" w:fill="auto"/>
            <w:tcMar>
              <w:top w:w="40" w:type="dxa"/>
              <w:left w:w="40" w:type="dxa"/>
              <w:bottom w:w="40" w:type="dxa"/>
              <w:right w:w="40" w:type="dxa"/>
            </w:tcMar>
            <w:vAlign w:val="bottom"/>
          </w:tcPr>
          <w:p w14:paraId="3750DDC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DC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DC9"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C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CB"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145</w:t>
            </w:r>
          </w:p>
        </w:tc>
        <w:tc>
          <w:tcPr>
            <w:tcW w:w="0" w:type="auto"/>
            <w:shd w:val="clear" w:color="auto" w:fill="auto"/>
            <w:vAlign w:val="bottom"/>
          </w:tcPr>
          <w:p w14:paraId="3750DDC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C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C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DC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D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D1"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DD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D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D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145</w:t>
            </w:r>
          </w:p>
        </w:tc>
        <w:tc>
          <w:tcPr>
            <w:tcW w:w="0" w:type="auto"/>
            <w:shd w:val="clear" w:color="auto" w:fill="auto"/>
            <w:vAlign w:val="bottom"/>
          </w:tcPr>
          <w:p w14:paraId="3750DDD5" w14:textId="77777777" w:rsidR="002541AD" w:rsidRDefault="002541AD">
            <w:pPr>
              <w:textAlignment w:val="bottom"/>
              <w:rPr>
                <w:rFonts w:ascii="Times New Roman" w:hAnsi="Times New Roman"/>
                <w:sz w:val="20"/>
                <w:szCs w:val="20"/>
              </w:rPr>
            </w:pPr>
          </w:p>
        </w:tc>
      </w:tr>
      <w:tr w:rsidR="002541AD" w14:paraId="3750DDE7" w14:textId="77777777">
        <w:tc>
          <w:tcPr>
            <w:tcW w:w="0" w:type="auto"/>
            <w:shd w:val="clear" w:color="auto" w:fill="auto"/>
            <w:tcMar>
              <w:top w:w="40" w:type="dxa"/>
              <w:left w:w="40" w:type="dxa"/>
              <w:bottom w:w="40" w:type="dxa"/>
              <w:right w:w="40" w:type="dxa"/>
            </w:tcMar>
            <w:vAlign w:val="bottom"/>
          </w:tcPr>
          <w:p w14:paraId="3750DDD7"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Convertible debt</w:t>
            </w:r>
          </w:p>
        </w:tc>
        <w:tc>
          <w:tcPr>
            <w:tcW w:w="0" w:type="auto"/>
            <w:shd w:val="clear" w:color="auto" w:fill="auto"/>
            <w:tcMar>
              <w:top w:w="40" w:type="dxa"/>
              <w:left w:w="40" w:type="dxa"/>
              <w:bottom w:w="40" w:type="dxa"/>
              <w:right w:w="40" w:type="dxa"/>
            </w:tcMar>
            <w:vAlign w:val="bottom"/>
          </w:tcPr>
          <w:p w14:paraId="3750DDD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DD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DD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D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D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(592</w:t>
            </w:r>
          </w:p>
        </w:tc>
        <w:tc>
          <w:tcPr>
            <w:tcW w:w="0" w:type="auto"/>
            <w:shd w:val="clear" w:color="auto" w:fill="auto"/>
            <w:tcMar>
              <w:top w:w="40" w:type="dxa"/>
              <w:bottom w:w="40" w:type="dxa"/>
              <w:right w:w="40" w:type="dxa"/>
            </w:tcMar>
            <w:vAlign w:val="bottom"/>
          </w:tcPr>
          <w:p w14:paraId="3750DDDD"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3750DDD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D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DE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E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E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DE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E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E5"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(592</w:t>
            </w:r>
          </w:p>
        </w:tc>
        <w:tc>
          <w:tcPr>
            <w:tcW w:w="0" w:type="auto"/>
            <w:shd w:val="clear" w:color="auto" w:fill="auto"/>
            <w:tcMar>
              <w:top w:w="40" w:type="dxa"/>
              <w:bottom w:w="40" w:type="dxa"/>
              <w:right w:w="40" w:type="dxa"/>
            </w:tcMar>
            <w:vAlign w:val="bottom"/>
          </w:tcPr>
          <w:p w14:paraId="3750DDE6"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DDF8" w14:textId="77777777">
        <w:tc>
          <w:tcPr>
            <w:tcW w:w="0" w:type="auto"/>
            <w:shd w:val="clear" w:color="auto" w:fill="auto"/>
            <w:tcMar>
              <w:top w:w="40" w:type="dxa"/>
              <w:left w:w="40" w:type="dxa"/>
              <w:bottom w:w="40" w:type="dxa"/>
              <w:right w:w="40" w:type="dxa"/>
            </w:tcMar>
            <w:vAlign w:val="bottom"/>
          </w:tcPr>
          <w:p w14:paraId="3750DDE8"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Repurchase of common stock</w:t>
            </w:r>
          </w:p>
        </w:tc>
        <w:tc>
          <w:tcPr>
            <w:tcW w:w="0" w:type="auto"/>
            <w:shd w:val="clear" w:color="auto" w:fill="auto"/>
            <w:tcMar>
              <w:top w:w="40" w:type="dxa"/>
              <w:left w:w="40" w:type="dxa"/>
              <w:bottom w:w="40" w:type="dxa"/>
              <w:right w:w="40" w:type="dxa"/>
            </w:tcMar>
            <w:vAlign w:val="bottom"/>
          </w:tcPr>
          <w:p w14:paraId="3750DDE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DEA"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(49</w:t>
            </w:r>
          </w:p>
        </w:tc>
        <w:tc>
          <w:tcPr>
            <w:tcW w:w="0" w:type="auto"/>
            <w:shd w:val="clear" w:color="auto" w:fill="auto"/>
            <w:tcMar>
              <w:top w:w="40" w:type="dxa"/>
              <w:bottom w:w="40" w:type="dxa"/>
              <w:right w:w="40" w:type="dxa"/>
            </w:tcMar>
            <w:vAlign w:val="bottom"/>
          </w:tcPr>
          <w:p w14:paraId="3750DDEB"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3750DDE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ED"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(278</w:t>
            </w:r>
          </w:p>
        </w:tc>
        <w:tc>
          <w:tcPr>
            <w:tcW w:w="0" w:type="auto"/>
            <w:shd w:val="clear" w:color="auto" w:fill="auto"/>
            <w:tcMar>
              <w:top w:w="40" w:type="dxa"/>
              <w:bottom w:w="40" w:type="dxa"/>
              <w:right w:w="40" w:type="dxa"/>
            </w:tcMar>
            <w:vAlign w:val="bottom"/>
          </w:tcPr>
          <w:p w14:paraId="3750DDEE"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3750DDE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F0"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DF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DF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F3"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(2,172</w:t>
            </w:r>
          </w:p>
        </w:tc>
        <w:tc>
          <w:tcPr>
            <w:tcW w:w="0" w:type="auto"/>
            <w:shd w:val="clear" w:color="auto" w:fill="auto"/>
            <w:tcMar>
              <w:top w:w="40" w:type="dxa"/>
              <w:bottom w:w="40" w:type="dxa"/>
              <w:right w:w="40" w:type="dxa"/>
            </w:tcMar>
            <w:vAlign w:val="bottom"/>
          </w:tcPr>
          <w:p w14:paraId="3750DDF4"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3750DDF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F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(2,450</w:t>
            </w:r>
          </w:p>
        </w:tc>
        <w:tc>
          <w:tcPr>
            <w:tcW w:w="0" w:type="auto"/>
            <w:shd w:val="clear" w:color="auto" w:fill="auto"/>
            <w:tcMar>
              <w:top w:w="40" w:type="dxa"/>
              <w:bottom w:w="40" w:type="dxa"/>
              <w:right w:w="40" w:type="dxa"/>
            </w:tcMar>
            <w:vAlign w:val="bottom"/>
          </w:tcPr>
          <w:p w14:paraId="3750DDF7"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DE09" w14:textId="77777777">
        <w:tc>
          <w:tcPr>
            <w:tcW w:w="0" w:type="auto"/>
            <w:shd w:val="clear" w:color="auto" w:fill="auto"/>
            <w:tcMar>
              <w:top w:w="40" w:type="dxa"/>
              <w:left w:w="40" w:type="dxa"/>
              <w:bottom w:w="40" w:type="dxa"/>
              <w:right w:w="40" w:type="dxa"/>
            </w:tcMar>
            <w:vAlign w:val="bottom"/>
          </w:tcPr>
          <w:p w14:paraId="3750DDF9"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Restricted stock unit withholdings</w:t>
            </w:r>
          </w:p>
        </w:tc>
        <w:tc>
          <w:tcPr>
            <w:tcW w:w="0" w:type="auto"/>
            <w:shd w:val="clear" w:color="auto" w:fill="auto"/>
            <w:tcMar>
              <w:top w:w="40" w:type="dxa"/>
              <w:left w:w="40" w:type="dxa"/>
              <w:bottom w:w="40" w:type="dxa"/>
              <w:right w:w="40" w:type="dxa"/>
            </w:tcMar>
            <w:vAlign w:val="bottom"/>
          </w:tcPr>
          <w:p w14:paraId="3750DDF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DFB"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w:t>
            </w:r>
          </w:p>
        </w:tc>
        <w:tc>
          <w:tcPr>
            <w:tcW w:w="0" w:type="auto"/>
            <w:shd w:val="clear" w:color="auto" w:fill="auto"/>
            <w:tcMar>
              <w:top w:w="40" w:type="dxa"/>
              <w:bottom w:w="40" w:type="dxa"/>
              <w:right w:w="40" w:type="dxa"/>
            </w:tcMar>
            <w:vAlign w:val="bottom"/>
          </w:tcPr>
          <w:p w14:paraId="3750DDFC"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3750DDF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DF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(55</w:t>
            </w:r>
          </w:p>
        </w:tc>
        <w:tc>
          <w:tcPr>
            <w:tcW w:w="0" w:type="auto"/>
            <w:shd w:val="clear" w:color="auto" w:fill="auto"/>
            <w:tcMar>
              <w:top w:w="40" w:type="dxa"/>
              <w:bottom w:w="40" w:type="dxa"/>
              <w:right w:w="40" w:type="dxa"/>
            </w:tcMar>
            <w:vAlign w:val="bottom"/>
          </w:tcPr>
          <w:p w14:paraId="3750DDFF"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3750DE0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E01"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E0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E0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E0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(17</w:t>
            </w:r>
          </w:p>
        </w:tc>
        <w:tc>
          <w:tcPr>
            <w:tcW w:w="0" w:type="auto"/>
            <w:shd w:val="clear" w:color="auto" w:fill="auto"/>
            <w:tcMar>
              <w:top w:w="40" w:type="dxa"/>
              <w:bottom w:w="40" w:type="dxa"/>
              <w:right w:w="40" w:type="dxa"/>
            </w:tcMar>
            <w:vAlign w:val="bottom"/>
          </w:tcPr>
          <w:p w14:paraId="3750DE05"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3750DE0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E07"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(72</w:t>
            </w:r>
          </w:p>
        </w:tc>
        <w:tc>
          <w:tcPr>
            <w:tcW w:w="0" w:type="auto"/>
            <w:shd w:val="clear" w:color="auto" w:fill="auto"/>
            <w:tcMar>
              <w:top w:w="40" w:type="dxa"/>
              <w:bottom w:w="40" w:type="dxa"/>
              <w:right w:w="40" w:type="dxa"/>
            </w:tcMar>
            <w:vAlign w:val="bottom"/>
          </w:tcPr>
          <w:p w14:paraId="3750DE08"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DE1A" w14:textId="77777777">
        <w:tc>
          <w:tcPr>
            <w:tcW w:w="0" w:type="auto"/>
            <w:shd w:val="clear" w:color="auto" w:fill="auto"/>
            <w:tcMar>
              <w:top w:w="40" w:type="dxa"/>
              <w:left w:w="40" w:type="dxa"/>
              <w:bottom w:w="40" w:type="dxa"/>
              <w:right w:w="40" w:type="dxa"/>
            </w:tcMar>
            <w:vAlign w:val="bottom"/>
          </w:tcPr>
          <w:p w14:paraId="3750DE0A"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Cash dividends declared ($0.63 per share)</w:t>
            </w:r>
          </w:p>
        </w:tc>
        <w:tc>
          <w:tcPr>
            <w:tcW w:w="0" w:type="auto"/>
            <w:shd w:val="clear" w:color="auto" w:fill="auto"/>
            <w:tcMar>
              <w:top w:w="40" w:type="dxa"/>
              <w:left w:w="40" w:type="dxa"/>
              <w:bottom w:w="40" w:type="dxa"/>
              <w:right w:w="40" w:type="dxa"/>
            </w:tcMar>
            <w:vAlign w:val="bottom"/>
          </w:tcPr>
          <w:p w14:paraId="3750DE0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E0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E0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E0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E0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E1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E1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E1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DE1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E1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E15"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(2,829</w:t>
            </w:r>
          </w:p>
        </w:tc>
        <w:tc>
          <w:tcPr>
            <w:tcW w:w="0" w:type="auto"/>
            <w:shd w:val="clear" w:color="auto" w:fill="auto"/>
            <w:tcMar>
              <w:top w:w="40" w:type="dxa"/>
              <w:bottom w:w="40" w:type="dxa"/>
              <w:right w:w="40" w:type="dxa"/>
            </w:tcMar>
            <w:vAlign w:val="bottom"/>
          </w:tcPr>
          <w:p w14:paraId="3750DE16"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3750DE1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E1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(2,829</w:t>
            </w:r>
          </w:p>
        </w:tc>
        <w:tc>
          <w:tcPr>
            <w:tcW w:w="0" w:type="auto"/>
            <w:shd w:val="clear" w:color="auto" w:fill="auto"/>
            <w:tcMar>
              <w:top w:w="40" w:type="dxa"/>
              <w:bottom w:w="40" w:type="dxa"/>
              <w:right w:w="40" w:type="dxa"/>
            </w:tcMar>
            <w:vAlign w:val="bottom"/>
          </w:tcPr>
          <w:p w14:paraId="3750DE19"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DE2F" w14:textId="77777777">
        <w:tc>
          <w:tcPr>
            <w:tcW w:w="0" w:type="auto"/>
            <w:shd w:val="clear" w:color="auto" w:fill="auto"/>
            <w:tcMar>
              <w:top w:w="40" w:type="dxa"/>
              <w:left w:w="40" w:type="dxa"/>
              <w:bottom w:w="40" w:type="dxa"/>
              <w:right w:w="40" w:type="dxa"/>
            </w:tcMar>
            <w:vAlign w:val="bottom"/>
          </w:tcPr>
          <w:p w14:paraId="3750DE1B"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Balance as of March 30, 2019</w:t>
            </w:r>
          </w:p>
        </w:tc>
        <w:tc>
          <w:tcPr>
            <w:tcW w:w="0" w:type="auto"/>
            <w:shd w:val="clear" w:color="auto" w:fill="auto"/>
            <w:tcMar>
              <w:top w:w="40" w:type="dxa"/>
              <w:left w:w="40" w:type="dxa"/>
              <w:bottom w:w="40" w:type="dxa"/>
              <w:right w:w="40" w:type="dxa"/>
            </w:tcMar>
            <w:vAlign w:val="bottom"/>
          </w:tcPr>
          <w:p w14:paraId="3750DE1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DE1D"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4,477</w:t>
            </w:r>
          </w:p>
        </w:tc>
        <w:tc>
          <w:tcPr>
            <w:tcW w:w="0" w:type="auto"/>
            <w:tcBorders>
              <w:top w:val="single" w:sz="8" w:space="0" w:color="333333"/>
              <w:bottom w:val="double" w:sz="6" w:space="0" w:color="333333"/>
            </w:tcBorders>
            <w:shd w:val="clear" w:color="auto" w:fill="auto"/>
            <w:vAlign w:val="bottom"/>
          </w:tcPr>
          <w:p w14:paraId="3750DE1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E1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DE20"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DE21"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25,346</w:t>
            </w:r>
          </w:p>
        </w:tc>
        <w:tc>
          <w:tcPr>
            <w:tcW w:w="0" w:type="auto"/>
            <w:tcBorders>
              <w:top w:val="single" w:sz="8" w:space="0" w:color="333333"/>
              <w:bottom w:val="double" w:sz="6" w:space="0" w:color="333333"/>
            </w:tcBorders>
            <w:shd w:val="clear" w:color="auto" w:fill="auto"/>
            <w:vAlign w:val="bottom"/>
          </w:tcPr>
          <w:p w14:paraId="3750DE2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E2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DE24"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DE25"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(813</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DE26"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3750DE2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DE28"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DE29"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49,128</w:t>
            </w:r>
          </w:p>
        </w:tc>
        <w:tc>
          <w:tcPr>
            <w:tcW w:w="0" w:type="auto"/>
            <w:tcBorders>
              <w:top w:val="single" w:sz="8" w:space="0" w:color="333333"/>
              <w:bottom w:val="double" w:sz="6" w:space="0" w:color="333333"/>
            </w:tcBorders>
            <w:shd w:val="clear" w:color="auto" w:fill="auto"/>
            <w:vAlign w:val="bottom"/>
          </w:tcPr>
          <w:p w14:paraId="3750DE2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E2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DE2C"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DE2D"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73,661</w:t>
            </w:r>
          </w:p>
        </w:tc>
        <w:tc>
          <w:tcPr>
            <w:tcW w:w="0" w:type="auto"/>
            <w:tcBorders>
              <w:top w:val="single" w:sz="8" w:space="0" w:color="333333"/>
              <w:bottom w:val="double" w:sz="6" w:space="0" w:color="333333"/>
            </w:tcBorders>
            <w:shd w:val="clear" w:color="auto" w:fill="auto"/>
            <w:vAlign w:val="bottom"/>
          </w:tcPr>
          <w:p w14:paraId="3750DE2E" w14:textId="77777777" w:rsidR="002541AD" w:rsidRDefault="002541AD">
            <w:pPr>
              <w:textAlignment w:val="bottom"/>
              <w:rPr>
                <w:rFonts w:ascii="Times New Roman" w:hAnsi="Times New Roman"/>
                <w:sz w:val="20"/>
                <w:szCs w:val="20"/>
              </w:rPr>
            </w:pPr>
          </w:p>
        </w:tc>
      </w:tr>
    </w:tbl>
    <w:p w14:paraId="3750DE30" w14:textId="77777777" w:rsidR="002541AD" w:rsidRDefault="00901AA6">
      <w:pPr>
        <w:spacing w:line="288" w:lineRule="auto"/>
        <w:ind w:hanging="240"/>
        <w:rPr>
          <w:rFonts w:ascii="Times New Roman" w:hAnsi="Times New Roman"/>
          <w:sz w:val="16"/>
          <w:szCs w:val="16"/>
        </w:rPr>
      </w:pPr>
      <w:r>
        <w:rPr>
          <w:rFonts w:ascii="Arial" w:eastAsia="宋体" w:hAnsi="Arial" w:cs="Arial"/>
          <w:i/>
          <w:iCs/>
          <w:color w:val="333333"/>
          <w:sz w:val="16"/>
          <w:szCs w:val="16"/>
        </w:rPr>
        <w:t>See accompanying notes.</w:t>
      </w:r>
    </w:p>
    <w:p w14:paraId="3750DE31"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DE33" w14:textId="77777777">
        <w:tc>
          <w:tcPr>
            <w:tcW w:w="0" w:type="auto"/>
            <w:gridSpan w:val="3"/>
            <w:shd w:val="clear" w:color="auto" w:fill="auto"/>
            <w:vAlign w:val="center"/>
          </w:tcPr>
          <w:p w14:paraId="3750DE32" w14:textId="77777777" w:rsidR="002541AD" w:rsidRDefault="002541AD">
            <w:pPr>
              <w:rPr>
                <w:rFonts w:ascii="Times New Roman" w:hAnsi="Times New Roman"/>
                <w:sz w:val="20"/>
                <w:szCs w:val="20"/>
              </w:rPr>
            </w:pPr>
          </w:p>
        </w:tc>
      </w:tr>
      <w:tr w:rsidR="002541AD" w14:paraId="3750DE37" w14:textId="77777777">
        <w:tc>
          <w:tcPr>
            <w:tcW w:w="1550" w:type="pct"/>
            <w:shd w:val="clear" w:color="auto" w:fill="auto"/>
            <w:vAlign w:val="center"/>
          </w:tcPr>
          <w:p w14:paraId="3750DE34" w14:textId="77777777" w:rsidR="002541AD" w:rsidRDefault="002541AD">
            <w:pPr>
              <w:rPr>
                <w:rFonts w:ascii="Times New Roman" w:hAnsi="Times New Roman"/>
                <w:sz w:val="20"/>
                <w:szCs w:val="20"/>
              </w:rPr>
            </w:pPr>
          </w:p>
        </w:tc>
        <w:tc>
          <w:tcPr>
            <w:tcW w:w="2200" w:type="pct"/>
            <w:shd w:val="clear" w:color="auto" w:fill="auto"/>
            <w:vAlign w:val="center"/>
          </w:tcPr>
          <w:p w14:paraId="3750DE35" w14:textId="77777777" w:rsidR="002541AD" w:rsidRDefault="002541AD">
            <w:pPr>
              <w:rPr>
                <w:rFonts w:ascii="Times New Roman" w:hAnsi="Times New Roman"/>
                <w:sz w:val="20"/>
                <w:szCs w:val="20"/>
              </w:rPr>
            </w:pPr>
          </w:p>
        </w:tc>
        <w:tc>
          <w:tcPr>
            <w:tcW w:w="1250" w:type="pct"/>
            <w:shd w:val="clear" w:color="auto" w:fill="auto"/>
            <w:vAlign w:val="center"/>
          </w:tcPr>
          <w:p w14:paraId="3750DE36" w14:textId="77777777" w:rsidR="002541AD" w:rsidRDefault="002541AD">
            <w:pPr>
              <w:rPr>
                <w:rFonts w:ascii="Times New Roman" w:hAnsi="Times New Roman"/>
                <w:sz w:val="20"/>
                <w:szCs w:val="20"/>
              </w:rPr>
            </w:pPr>
          </w:p>
        </w:tc>
      </w:tr>
      <w:tr w:rsidR="002541AD" w14:paraId="3750DE3B" w14:textId="77777777">
        <w:tc>
          <w:tcPr>
            <w:tcW w:w="0" w:type="auto"/>
            <w:tcBorders>
              <w:top w:val="single" w:sz="8" w:space="0" w:color="0071C5"/>
              <w:right w:val="single" w:sz="24" w:space="0" w:color="0071C5"/>
            </w:tcBorders>
            <w:shd w:val="clear" w:color="auto" w:fill="auto"/>
            <w:tcMar>
              <w:top w:w="40" w:type="dxa"/>
              <w:left w:w="40" w:type="dxa"/>
              <w:bottom w:w="40" w:type="dxa"/>
              <w:right w:w="40" w:type="dxa"/>
            </w:tcMar>
            <w:vAlign w:val="center"/>
          </w:tcPr>
          <w:p w14:paraId="3750DE38"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5C" wp14:editId="3750F85D">
                  <wp:extent cx="304800" cy="304800"/>
                  <wp:effectExtent l="0" t="0" r="0" b="0"/>
                  <wp:docPr id="51" name="图片 59"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9"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E39"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Consolidated Condensed Statements of Stockholders' Equity</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E3A"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10</w:t>
            </w:r>
          </w:p>
        </w:tc>
      </w:tr>
    </w:tbl>
    <w:p w14:paraId="3750DE3C" w14:textId="77777777" w:rsidR="002541AD" w:rsidRDefault="002541AD">
      <w:pPr>
        <w:spacing w:line="288" w:lineRule="auto"/>
        <w:rPr>
          <w:rFonts w:ascii="Times New Roman" w:hAnsi="Times New Roman"/>
          <w:sz w:val="18"/>
          <w:szCs w:val="18"/>
        </w:rPr>
      </w:pPr>
    </w:p>
    <w:p w14:paraId="3750DE3D" w14:textId="77777777" w:rsidR="002541AD" w:rsidRDefault="002541AD">
      <w:pPr>
        <w:spacing w:line="288" w:lineRule="auto"/>
        <w:rPr>
          <w:rFonts w:ascii="Times New Roman" w:hAnsi="Times New Roman"/>
          <w:sz w:val="18"/>
          <w:szCs w:val="18"/>
        </w:rPr>
      </w:pPr>
    </w:p>
    <w:p w14:paraId="3750DE3E" w14:textId="77777777" w:rsidR="002541AD" w:rsidRDefault="00901AA6">
      <w:r>
        <w:rPr>
          <w:rFonts w:ascii="Times New Roman" w:hAnsi="Times New Roman"/>
          <w:sz w:val="18"/>
          <w:szCs w:val="18"/>
        </w:rPr>
        <w:pict w14:anchorId="3750F85E">
          <v:rect id="_x0000_i1036" style="width:415.3pt;height:1.5pt" o:hralign="center" o:hrstd="t" o:hr="t" fillcolor="#a0a0a0" stroked="f"/>
        </w:pict>
      </w:r>
    </w:p>
    <w:p w14:paraId="3750DE3F" w14:textId="77777777" w:rsidR="002541AD" w:rsidRDefault="00901AA6">
      <w:pPr>
        <w:spacing w:line="288" w:lineRule="auto"/>
        <w:jc w:val="right"/>
        <w:rPr>
          <w:rFonts w:ascii="Times New Roman" w:hAnsi="Times New Roman"/>
          <w:sz w:val="16"/>
          <w:szCs w:val="16"/>
        </w:rPr>
      </w:pPr>
      <w:hyperlink r:id="rId39" w:anchor="s2CABEAF4222C52B4A34547BF538A8C27" w:history="1">
        <w:r>
          <w:rPr>
            <w:rStyle w:val="a5"/>
            <w:rFonts w:ascii="Arial" w:eastAsia="宋体" w:hAnsi="Arial" w:cs="Arial"/>
            <w:b/>
            <w:bCs/>
            <w:sz w:val="16"/>
            <w:szCs w:val="16"/>
          </w:rPr>
          <w:t>Table of Contents</w:t>
        </w:r>
      </w:hyperlink>
    </w:p>
    <w:p w14:paraId="3750DE40" w14:textId="77777777" w:rsidR="002541AD" w:rsidRDefault="002541AD">
      <w:pPr>
        <w:spacing w:line="288" w:lineRule="auto"/>
        <w:jc w:val="right"/>
        <w:rPr>
          <w:rFonts w:ascii="Times New Roman" w:hAnsi="Times New Roman"/>
          <w:sz w:val="18"/>
          <w:szCs w:val="18"/>
        </w:rPr>
      </w:pPr>
    </w:p>
    <w:p w14:paraId="3750DE41" w14:textId="77777777" w:rsidR="002541AD" w:rsidRDefault="002541AD">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2541AD" w14:paraId="3750DE43" w14:textId="77777777">
        <w:trPr>
          <w:jc w:val="center"/>
        </w:trPr>
        <w:tc>
          <w:tcPr>
            <w:tcW w:w="0" w:type="auto"/>
            <w:shd w:val="clear" w:color="auto" w:fill="auto"/>
            <w:vAlign w:val="center"/>
          </w:tcPr>
          <w:p w14:paraId="3750DE42" w14:textId="77777777" w:rsidR="002541AD" w:rsidRDefault="002541AD">
            <w:pPr>
              <w:rPr>
                <w:rFonts w:ascii="Times New Roman" w:hAnsi="Times New Roman"/>
                <w:sz w:val="20"/>
                <w:szCs w:val="20"/>
              </w:rPr>
            </w:pPr>
          </w:p>
        </w:tc>
      </w:tr>
      <w:tr w:rsidR="002541AD" w14:paraId="3750DE45" w14:textId="77777777">
        <w:trPr>
          <w:jc w:val="center"/>
        </w:trPr>
        <w:tc>
          <w:tcPr>
            <w:tcW w:w="5000" w:type="pct"/>
            <w:shd w:val="clear" w:color="auto" w:fill="auto"/>
            <w:vAlign w:val="center"/>
          </w:tcPr>
          <w:p w14:paraId="3750DE44" w14:textId="77777777" w:rsidR="002541AD" w:rsidRDefault="002541AD">
            <w:pPr>
              <w:rPr>
                <w:rFonts w:ascii="Times New Roman" w:hAnsi="Times New Roman"/>
                <w:sz w:val="20"/>
                <w:szCs w:val="20"/>
              </w:rPr>
            </w:pPr>
          </w:p>
        </w:tc>
      </w:tr>
      <w:tr w:rsidR="002541AD" w14:paraId="3750DE47" w14:textId="77777777">
        <w:trPr>
          <w:jc w:val="center"/>
        </w:trPr>
        <w:tc>
          <w:tcPr>
            <w:tcW w:w="0" w:type="auto"/>
            <w:shd w:val="clear" w:color="auto" w:fill="0071C5"/>
            <w:tcMar>
              <w:top w:w="40" w:type="dxa"/>
              <w:left w:w="40" w:type="dxa"/>
              <w:bottom w:w="40" w:type="dxa"/>
              <w:right w:w="40" w:type="dxa"/>
            </w:tcMar>
            <w:vAlign w:val="bottom"/>
          </w:tcPr>
          <w:p w14:paraId="3750DE46"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rPr>
              <w:t xml:space="preserve">NOTES TO CONSOLIDATED CONDENSED FINANCIAL STATEMENTS </w:t>
            </w:r>
          </w:p>
        </w:tc>
      </w:tr>
    </w:tbl>
    <w:p w14:paraId="3750DE48" w14:textId="77777777" w:rsidR="002541AD" w:rsidRDefault="002541AD">
      <w:pPr>
        <w:rPr>
          <w:vanish/>
        </w:rPr>
      </w:pPr>
    </w:p>
    <w:tbl>
      <w:tblPr>
        <w:tblW w:w="5000" w:type="pct"/>
        <w:tblCellMar>
          <w:left w:w="0" w:type="dxa"/>
          <w:right w:w="0" w:type="dxa"/>
        </w:tblCellMar>
        <w:tblLook w:val="04A0" w:firstRow="1" w:lastRow="0" w:firstColumn="1" w:lastColumn="0" w:noHBand="0" w:noVBand="1"/>
      </w:tblPr>
      <w:tblGrid>
        <w:gridCol w:w="1080"/>
        <w:gridCol w:w="7226"/>
      </w:tblGrid>
      <w:tr w:rsidR="002541AD" w14:paraId="3750DE4A" w14:textId="77777777">
        <w:tc>
          <w:tcPr>
            <w:tcW w:w="0" w:type="auto"/>
            <w:gridSpan w:val="2"/>
            <w:shd w:val="clear" w:color="auto" w:fill="auto"/>
            <w:vAlign w:val="center"/>
          </w:tcPr>
          <w:p w14:paraId="3750DE49" w14:textId="77777777" w:rsidR="002541AD" w:rsidRDefault="002541AD">
            <w:pPr>
              <w:rPr>
                <w:rFonts w:ascii="Times New Roman" w:hAnsi="Times New Roman"/>
                <w:sz w:val="20"/>
                <w:szCs w:val="20"/>
              </w:rPr>
            </w:pPr>
          </w:p>
        </w:tc>
      </w:tr>
      <w:tr w:rsidR="002541AD" w14:paraId="3750DE4D" w14:textId="77777777">
        <w:tc>
          <w:tcPr>
            <w:tcW w:w="650" w:type="pct"/>
            <w:shd w:val="clear" w:color="auto" w:fill="auto"/>
            <w:vAlign w:val="center"/>
          </w:tcPr>
          <w:p w14:paraId="3750DE4B" w14:textId="77777777" w:rsidR="002541AD" w:rsidRDefault="002541AD">
            <w:pPr>
              <w:rPr>
                <w:rFonts w:ascii="Times New Roman" w:hAnsi="Times New Roman"/>
                <w:sz w:val="20"/>
                <w:szCs w:val="20"/>
              </w:rPr>
            </w:pPr>
          </w:p>
        </w:tc>
        <w:tc>
          <w:tcPr>
            <w:tcW w:w="4350" w:type="pct"/>
            <w:shd w:val="clear" w:color="auto" w:fill="auto"/>
            <w:vAlign w:val="center"/>
          </w:tcPr>
          <w:p w14:paraId="3750DE4C" w14:textId="77777777" w:rsidR="002541AD" w:rsidRDefault="002541AD">
            <w:pPr>
              <w:rPr>
                <w:rFonts w:ascii="Times New Roman" w:hAnsi="Times New Roman"/>
                <w:sz w:val="20"/>
                <w:szCs w:val="20"/>
              </w:rPr>
            </w:pPr>
          </w:p>
        </w:tc>
      </w:tr>
      <w:tr w:rsidR="002541AD" w14:paraId="3750DE50"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3750DE4E"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1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DE4F" w14:textId="77777777" w:rsidR="002541AD" w:rsidRDefault="00901AA6">
            <w:pPr>
              <w:textAlignment w:val="bottom"/>
              <w:rPr>
                <w:rFonts w:ascii="Times New Roman" w:hAnsi="Times New Roman"/>
                <w:sz w:val="28"/>
                <w:szCs w:val="28"/>
              </w:rPr>
            </w:pPr>
            <w:r>
              <w:rPr>
                <w:rFonts w:ascii="Arial" w:eastAsia="宋体" w:hAnsi="Arial" w:cs="Arial"/>
                <w:b/>
                <w:bCs/>
                <w:color w:val="0071C5"/>
                <w:sz w:val="28"/>
                <w:szCs w:val="28"/>
              </w:rPr>
              <w:t>BASIS OF PRESENTATION</w:t>
            </w:r>
          </w:p>
        </w:tc>
      </w:tr>
    </w:tbl>
    <w:p w14:paraId="3750DE51"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We prepared our interim Consolidated Condensed Financial Statements that accompany these notes in conformity with U.S. GAAP, consistent in all material </w:t>
      </w:r>
      <w:r>
        <w:rPr>
          <w:rFonts w:ascii="Arial" w:eastAsia="宋体" w:hAnsi="Arial" w:cs="Arial"/>
          <w:color w:val="333333"/>
          <w:sz w:val="18"/>
          <w:szCs w:val="18"/>
        </w:rPr>
        <w:t>respects with those applied in our Form 10-K for the fiscal year ended December 28, 2019.</w:t>
      </w:r>
    </w:p>
    <w:p w14:paraId="3750DE52"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We have made estimates and judgments affecting the amounts reported in our Consolidated Condensed Financial Statements and the accompanying notes. The inputs into </w:t>
      </w:r>
      <w:r>
        <w:rPr>
          <w:rFonts w:ascii="Arial" w:eastAsia="宋体" w:hAnsi="Arial" w:cs="Arial"/>
          <w:color w:val="333333"/>
          <w:sz w:val="18"/>
          <w:szCs w:val="18"/>
        </w:rPr>
        <w:t>our judgments and estimates consider the economic implications of COVID-19 on our critical and significant accounting estimates. The actual results that we experience may differ materially from our estimates. The interim financial information is unaudited,</w:t>
      </w:r>
      <w:r>
        <w:rPr>
          <w:rFonts w:ascii="Arial" w:eastAsia="宋体" w:hAnsi="Arial" w:cs="Arial"/>
          <w:color w:val="333333"/>
          <w:sz w:val="18"/>
          <w:szCs w:val="18"/>
        </w:rPr>
        <w:t xml:space="preserve"> and reflects all normal adjustments that are, in our opinion, necessary to provide a fair statement of results for the interim periods presented. This report should be read in conjunction with the Consolidated Financial Statements in our 2019 Form 10-K wh</w:t>
      </w:r>
      <w:r>
        <w:rPr>
          <w:rFonts w:ascii="Arial" w:eastAsia="宋体" w:hAnsi="Arial" w:cs="Arial"/>
          <w:color w:val="333333"/>
          <w:sz w:val="18"/>
          <w:szCs w:val="18"/>
        </w:rPr>
        <w:t>ere we include additional information about our policies and the methods and assumptions used in our estimates.</w:t>
      </w:r>
    </w:p>
    <w:tbl>
      <w:tblPr>
        <w:tblW w:w="5000" w:type="pct"/>
        <w:tblCellMar>
          <w:left w:w="0" w:type="dxa"/>
          <w:right w:w="0" w:type="dxa"/>
        </w:tblCellMar>
        <w:tblLook w:val="04A0" w:firstRow="1" w:lastRow="0" w:firstColumn="1" w:lastColumn="0" w:noHBand="0" w:noVBand="1"/>
      </w:tblPr>
      <w:tblGrid>
        <w:gridCol w:w="1080"/>
        <w:gridCol w:w="7226"/>
      </w:tblGrid>
      <w:tr w:rsidR="002541AD" w14:paraId="3750DE54" w14:textId="77777777">
        <w:tc>
          <w:tcPr>
            <w:tcW w:w="0" w:type="auto"/>
            <w:gridSpan w:val="2"/>
            <w:shd w:val="clear" w:color="auto" w:fill="auto"/>
            <w:vAlign w:val="center"/>
          </w:tcPr>
          <w:p w14:paraId="3750DE53" w14:textId="77777777" w:rsidR="002541AD" w:rsidRDefault="002541AD">
            <w:pPr>
              <w:rPr>
                <w:rFonts w:ascii="Times New Roman" w:hAnsi="Times New Roman"/>
                <w:sz w:val="20"/>
                <w:szCs w:val="20"/>
              </w:rPr>
            </w:pPr>
          </w:p>
        </w:tc>
      </w:tr>
      <w:tr w:rsidR="002541AD" w14:paraId="3750DE57" w14:textId="77777777">
        <w:tc>
          <w:tcPr>
            <w:tcW w:w="650" w:type="pct"/>
            <w:shd w:val="clear" w:color="auto" w:fill="auto"/>
            <w:vAlign w:val="center"/>
          </w:tcPr>
          <w:p w14:paraId="3750DE55" w14:textId="77777777" w:rsidR="002541AD" w:rsidRDefault="002541AD">
            <w:pPr>
              <w:rPr>
                <w:rFonts w:ascii="Times New Roman" w:hAnsi="Times New Roman"/>
                <w:sz w:val="20"/>
                <w:szCs w:val="20"/>
              </w:rPr>
            </w:pPr>
          </w:p>
        </w:tc>
        <w:tc>
          <w:tcPr>
            <w:tcW w:w="4350" w:type="pct"/>
            <w:shd w:val="clear" w:color="auto" w:fill="auto"/>
            <w:vAlign w:val="center"/>
          </w:tcPr>
          <w:p w14:paraId="3750DE56" w14:textId="77777777" w:rsidR="002541AD" w:rsidRDefault="002541AD">
            <w:pPr>
              <w:rPr>
                <w:rFonts w:ascii="Times New Roman" w:hAnsi="Times New Roman"/>
                <w:sz w:val="20"/>
                <w:szCs w:val="20"/>
              </w:rPr>
            </w:pPr>
          </w:p>
        </w:tc>
      </w:tr>
      <w:tr w:rsidR="002541AD" w14:paraId="3750DE5A"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3750DE58"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2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DE59" w14:textId="77777777" w:rsidR="002541AD" w:rsidRDefault="00901AA6">
            <w:pPr>
              <w:textAlignment w:val="bottom"/>
              <w:rPr>
                <w:rFonts w:ascii="Times New Roman" w:hAnsi="Times New Roman"/>
                <w:sz w:val="28"/>
                <w:szCs w:val="28"/>
              </w:rPr>
            </w:pPr>
            <w:r>
              <w:rPr>
                <w:rFonts w:ascii="Arial" w:eastAsia="宋体" w:hAnsi="Arial" w:cs="Arial"/>
                <w:b/>
                <w:bCs/>
                <w:color w:val="0071C5"/>
                <w:sz w:val="28"/>
                <w:szCs w:val="28"/>
              </w:rPr>
              <w:t>OPERATING SEGMENTS</w:t>
            </w:r>
          </w:p>
        </w:tc>
      </w:tr>
    </w:tbl>
    <w:p w14:paraId="3750DE5B" w14:textId="77777777" w:rsidR="002541AD" w:rsidRDefault="002541AD">
      <w:pPr>
        <w:spacing w:line="288" w:lineRule="auto"/>
        <w:rPr>
          <w:rFonts w:ascii="Times New Roman" w:hAnsi="Times New Roman"/>
          <w:sz w:val="28"/>
          <w:szCs w:val="28"/>
        </w:rPr>
      </w:pPr>
    </w:p>
    <w:p w14:paraId="3750DE5C"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We manage our business through the following operating segments:</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400"/>
      </w:tblGrid>
      <w:tr w:rsidR="002541AD" w14:paraId="3750DE5F" w14:textId="77777777">
        <w:trPr>
          <w:tblCellSpacing w:w="0" w:type="dxa"/>
        </w:trPr>
        <w:tc>
          <w:tcPr>
            <w:tcW w:w="480" w:type="dxa"/>
            <w:shd w:val="clear" w:color="auto" w:fill="auto"/>
            <w:vAlign w:val="center"/>
          </w:tcPr>
          <w:p w14:paraId="3750DE5D" w14:textId="77777777" w:rsidR="002541AD" w:rsidRDefault="002541AD">
            <w:pPr>
              <w:rPr>
                <w:rFonts w:ascii="Times New Roman" w:hAnsi="Times New Roman"/>
                <w:sz w:val="20"/>
                <w:szCs w:val="20"/>
              </w:rPr>
            </w:pPr>
          </w:p>
        </w:tc>
        <w:tc>
          <w:tcPr>
            <w:tcW w:w="0" w:type="auto"/>
            <w:shd w:val="clear" w:color="auto" w:fill="auto"/>
            <w:vAlign w:val="center"/>
          </w:tcPr>
          <w:p w14:paraId="3750DE5E" w14:textId="77777777" w:rsidR="002541AD" w:rsidRDefault="002541AD">
            <w:pPr>
              <w:rPr>
                <w:rFonts w:ascii="Times New Roman" w:hAnsi="Times New Roman"/>
                <w:sz w:val="20"/>
                <w:szCs w:val="20"/>
              </w:rPr>
            </w:pPr>
          </w:p>
        </w:tc>
      </w:tr>
      <w:tr w:rsidR="002541AD" w14:paraId="3750DE62" w14:textId="77777777">
        <w:trPr>
          <w:tblCellSpacing w:w="0" w:type="dxa"/>
        </w:trPr>
        <w:tc>
          <w:tcPr>
            <w:tcW w:w="0" w:type="auto"/>
            <w:shd w:val="clear" w:color="auto" w:fill="auto"/>
          </w:tcPr>
          <w:p w14:paraId="3750DE60" w14:textId="77777777" w:rsidR="002541AD" w:rsidRDefault="00901AA6">
            <w:pPr>
              <w:spacing w:line="288" w:lineRule="auto"/>
              <w:textAlignment w:val="top"/>
              <w:rPr>
                <w:rFonts w:ascii="Times New Roman" w:hAnsi="Times New Roman"/>
                <w:sz w:val="20"/>
                <w:szCs w:val="20"/>
              </w:rPr>
            </w:pPr>
            <w:r>
              <w:rPr>
                <w:rFonts w:ascii="Arial" w:eastAsia="宋体" w:hAnsi="Arial" w:cs="Arial"/>
                <w:b/>
                <w:bCs/>
                <w:color w:val="0071C5"/>
                <w:sz w:val="20"/>
                <w:szCs w:val="20"/>
              </w:rPr>
              <w:t>•</w:t>
            </w:r>
          </w:p>
        </w:tc>
        <w:tc>
          <w:tcPr>
            <w:tcW w:w="0" w:type="auto"/>
            <w:shd w:val="clear" w:color="auto" w:fill="auto"/>
          </w:tcPr>
          <w:p w14:paraId="3750DE61" w14:textId="77777777" w:rsidR="002541AD" w:rsidRDefault="00901AA6">
            <w:pPr>
              <w:spacing w:line="288" w:lineRule="auto"/>
              <w:textAlignment w:val="top"/>
              <w:rPr>
                <w:rFonts w:ascii="Times New Roman" w:hAnsi="Times New Roman"/>
                <w:sz w:val="20"/>
                <w:szCs w:val="20"/>
              </w:rPr>
            </w:pPr>
            <w:r>
              <w:rPr>
                <w:rFonts w:ascii="Arial" w:eastAsia="宋体" w:hAnsi="Arial" w:cs="Arial"/>
                <w:color w:val="333333"/>
                <w:sz w:val="18"/>
                <w:szCs w:val="18"/>
              </w:rPr>
              <w:t>DCG</w:t>
            </w:r>
          </w:p>
        </w:tc>
      </w:tr>
    </w:tbl>
    <w:p w14:paraId="3750DE63" w14:textId="77777777" w:rsidR="002541AD" w:rsidRDefault="002541A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440"/>
      </w:tblGrid>
      <w:tr w:rsidR="002541AD" w14:paraId="3750DE66" w14:textId="77777777">
        <w:trPr>
          <w:tblCellSpacing w:w="0" w:type="dxa"/>
        </w:trPr>
        <w:tc>
          <w:tcPr>
            <w:tcW w:w="480" w:type="dxa"/>
            <w:shd w:val="clear" w:color="auto" w:fill="auto"/>
            <w:vAlign w:val="center"/>
          </w:tcPr>
          <w:p w14:paraId="3750DE64" w14:textId="77777777" w:rsidR="002541AD" w:rsidRDefault="002541AD">
            <w:pPr>
              <w:rPr>
                <w:rFonts w:ascii="Times New Roman" w:hAnsi="Times New Roman"/>
                <w:sz w:val="20"/>
                <w:szCs w:val="20"/>
              </w:rPr>
            </w:pPr>
          </w:p>
        </w:tc>
        <w:tc>
          <w:tcPr>
            <w:tcW w:w="0" w:type="auto"/>
            <w:shd w:val="clear" w:color="auto" w:fill="auto"/>
            <w:vAlign w:val="center"/>
          </w:tcPr>
          <w:p w14:paraId="3750DE65" w14:textId="77777777" w:rsidR="002541AD" w:rsidRDefault="002541AD">
            <w:pPr>
              <w:rPr>
                <w:rFonts w:ascii="Times New Roman" w:hAnsi="Times New Roman"/>
                <w:sz w:val="20"/>
                <w:szCs w:val="20"/>
              </w:rPr>
            </w:pPr>
          </w:p>
        </w:tc>
      </w:tr>
      <w:tr w:rsidR="002541AD" w14:paraId="3750DE69" w14:textId="77777777">
        <w:trPr>
          <w:tblCellSpacing w:w="0" w:type="dxa"/>
        </w:trPr>
        <w:tc>
          <w:tcPr>
            <w:tcW w:w="0" w:type="auto"/>
            <w:shd w:val="clear" w:color="auto" w:fill="auto"/>
          </w:tcPr>
          <w:p w14:paraId="3750DE67" w14:textId="77777777" w:rsidR="002541AD" w:rsidRDefault="00901AA6">
            <w:pPr>
              <w:spacing w:line="288" w:lineRule="auto"/>
              <w:textAlignment w:val="top"/>
              <w:rPr>
                <w:rFonts w:ascii="Times New Roman" w:hAnsi="Times New Roman"/>
                <w:sz w:val="20"/>
                <w:szCs w:val="20"/>
              </w:rPr>
            </w:pPr>
            <w:r>
              <w:rPr>
                <w:rFonts w:ascii="Arial" w:eastAsia="宋体" w:hAnsi="Arial" w:cs="Arial"/>
                <w:b/>
                <w:bCs/>
                <w:color w:val="0071C5"/>
                <w:sz w:val="20"/>
                <w:szCs w:val="20"/>
              </w:rPr>
              <w:t>•</w:t>
            </w:r>
          </w:p>
        </w:tc>
        <w:tc>
          <w:tcPr>
            <w:tcW w:w="0" w:type="auto"/>
            <w:shd w:val="clear" w:color="auto" w:fill="auto"/>
          </w:tcPr>
          <w:p w14:paraId="3750DE68" w14:textId="77777777" w:rsidR="002541AD" w:rsidRDefault="00901AA6">
            <w:pPr>
              <w:spacing w:line="288" w:lineRule="auto"/>
              <w:textAlignment w:val="top"/>
              <w:rPr>
                <w:rFonts w:ascii="Times New Roman" w:hAnsi="Times New Roman"/>
                <w:sz w:val="20"/>
                <w:szCs w:val="20"/>
              </w:rPr>
            </w:pPr>
            <w:r>
              <w:rPr>
                <w:rFonts w:ascii="Arial" w:eastAsia="宋体" w:hAnsi="Arial" w:cs="Arial"/>
                <w:color w:val="333333"/>
                <w:sz w:val="18"/>
                <w:szCs w:val="18"/>
              </w:rPr>
              <w:t>IOTG</w:t>
            </w:r>
          </w:p>
        </w:tc>
      </w:tr>
    </w:tbl>
    <w:p w14:paraId="3750DE6A" w14:textId="77777777" w:rsidR="002541AD" w:rsidRDefault="002541A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21"/>
      </w:tblGrid>
      <w:tr w:rsidR="002541AD" w14:paraId="3750DE6D" w14:textId="77777777">
        <w:trPr>
          <w:tblCellSpacing w:w="0" w:type="dxa"/>
        </w:trPr>
        <w:tc>
          <w:tcPr>
            <w:tcW w:w="480" w:type="dxa"/>
            <w:shd w:val="clear" w:color="auto" w:fill="auto"/>
            <w:vAlign w:val="center"/>
          </w:tcPr>
          <w:p w14:paraId="3750DE6B" w14:textId="77777777" w:rsidR="002541AD" w:rsidRDefault="002541AD">
            <w:pPr>
              <w:rPr>
                <w:rFonts w:ascii="Times New Roman" w:hAnsi="Times New Roman"/>
                <w:sz w:val="20"/>
                <w:szCs w:val="20"/>
              </w:rPr>
            </w:pPr>
          </w:p>
        </w:tc>
        <w:tc>
          <w:tcPr>
            <w:tcW w:w="0" w:type="auto"/>
            <w:shd w:val="clear" w:color="auto" w:fill="auto"/>
            <w:vAlign w:val="center"/>
          </w:tcPr>
          <w:p w14:paraId="3750DE6C" w14:textId="77777777" w:rsidR="002541AD" w:rsidRDefault="002541AD">
            <w:pPr>
              <w:rPr>
                <w:rFonts w:ascii="Times New Roman" w:hAnsi="Times New Roman"/>
                <w:sz w:val="20"/>
                <w:szCs w:val="20"/>
              </w:rPr>
            </w:pPr>
          </w:p>
        </w:tc>
      </w:tr>
      <w:tr w:rsidR="002541AD" w14:paraId="3750DE70" w14:textId="77777777">
        <w:trPr>
          <w:tblCellSpacing w:w="0" w:type="dxa"/>
        </w:trPr>
        <w:tc>
          <w:tcPr>
            <w:tcW w:w="0" w:type="auto"/>
            <w:shd w:val="clear" w:color="auto" w:fill="auto"/>
          </w:tcPr>
          <w:p w14:paraId="3750DE6E" w14:textId="77777777" w:rsidR="002541AD" w:rsidRDefault="00901AA6">
            <w:pPr>
              <w:spacing w:line="288" w:lineRule="auto"/>
              <w:textAlignment w:val="top"/>
              <w:rPr>
                <w:rFonts w:ascii="Times New Roman" w:hAnsi="Times New Roman"/>
                <w:sz w:val="20"/>
                <w:szCs w:val="20"/>
              </w:rPr>
            </w:pPr>
            <w:r>
              <w:rPr>
                <w:rFonts w:ascii="Arial" w:eastAsia="宋体" w:hAnsi="Arial" w:cs="Arial"/>
                <w:b/>
                <w:bCs/>
                <w:color w:val="0071C5"/>
                <w:sz w:val="20"/>
                <w:szCs w:val="20"/>
              </w:rPr>
              <w:t>•</w:t>
            </w:r>
          </w:p>
        </w:tc>
        <w:tc>
          <w:tcPr>
            <w:tcW w:w="0" w:type="auto"/>
            <w:shd w:val="clear" w:color="auto" w:fill="auto"/>
          </w:tcPr>
          <w:p w14:paraId="3750DE6F" w14:textId="77777777" w:rsidR="002541AD" w:rsidRDefault="00901AA6">
            <w:pPr>
              <w:spacing w:line="288" w:lineRule="auto"/>
              <w:textAlignment w:val="top"/>
              <w:rPr>
                <w:rFonts w:ascii="Times New Roman" w:hAnsi="Times New Roman"/>
                <w:sz w:val="20"/>
                <w:szCs w:val="20"/>
              </w:rPr>
            </w:pPr>
            <w:r>
              <w:rPr>
                <w:rFonts w:ascii="Arial" w:eastAsia="宋体" w:hAnsi="Arial" w:cs="Arial"/>
                <w:color w:val="333333"/>
                <w:sz w:val="18"/>
                <w:szCs w:val="18"/>
              </w:rPr>
              <w:t xml:space="preserve">Mobileye </w:t>
            </w:r>
          </w:p>
        </w:tc>
      </w:tr>
    </w:tbl>
    <w:p w14:paraId="3750DE71" w14:textId="77777777" w:rsidR="002541AD" w:rsidRDefault="002541A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391"/>
      </w:tblGrid>
      <w:tr w:rsidR="002541AD" w14:paraId="3750DE74" w14:textId="77777777">
        <w:trPr>
          <w:tblCellSpacing w:w="0" w:type="dxa"/>
        </w:trPr>
        <w:tc>
          <w:tcPr>
            <w:tcW w:w="480" w:type="dxa"/>
            <w:shd w:val="clear" w:color="auto" w:fill="auto"/>
            <w:vAlign w:val="center"/>
          </w:tcPr>
          <w:p w14:paraId="3750DE72" w14:textId="77777777" w:rsidR="002541AD" w:rsidRDefault="002541AD">
            <w:pPr>
              <w:rPr>
                <w:rFonts w:ascii="Times New Roman" w:hAnsi="Times New Roman"/>
                <w:sz w:val="20"/>
                <w:szCs w:val="20"/>
              </w:rPr>
            </w:pPr>
          </w:p>
        </w:tc>
        <w:tc>
          <w:tcPr>
            <w:tcW w:w="0" w:type="auto"/>
            <w:shd w:val="clear" w:color="auto" w:fill="auto"/>
            <w:vAlign w:val="center"/>
          </w:tcPr>
          <w:p w14:paraId="3750DE73" w14:textId="77777777" w:rsidR="002541AD" w:rsidRDefault="002541AD">
            <w:pPr>
              <w:rPr>
                <w:rFonts w:ascii="Times New Roman" w:hAnsi="Times New Roman"/>
                <w:sz w:val="20"/>
                <w:szCs w:val="20"/>
              </w:rPr>
            </w:pPr>
          </w:p>
        </w:tc>
      </w:tr>
      <w:tr w:rsidR="002541AD" w14:paraId="3750DE77" w14:textId="77777777">
        <w:trPr>
          <w:tblCellSpacing w:w="0" w:type="dxa"/>
        </w:trPr>
        <w:tc>
          <w:tcPr>
            <w:tcW w:w="0" w:type="auto"/>
            <w:shd w:val="clear" w:color="auto" w:fill="auto"/>
          </w:tcPr>
          <w:p w14:paraId="3750DE75" w14:textId="77777777" w:rsidR="002541AD" w:rsidRDefault="00901AA6">
            <w:pPr>
              <w:spacing w:line="288" w:lineRule="auto"/>
              <w:textAlignment w:val="top"/>
              <w:rPr>
                <w:rFonts w:ascii="Times New Roman" w:hAnsi="Times New Roman"/>
                <w:sz w:val="20"/>
                <w:szCs w:val="20"/>
              </w:rPr>
            </w:pPr>
            <w:r>
              <w:rPr>
                <w:rFonts w:ascii="Arial" w:eastAsia="宋体" w:hAnsi="Arial" w:cs="Arial"/>
                <w:b/>
                <w:bCs/>
                <w:color w:val="0071C5"/>
                <w:sz w:val="20"/>
                <w:szCs w:val="20"/>
              </w:rPr>
              <w:t>•</w:t>
            </w:r>
          </w:p>
        </w:tc>
        <w:tc>
          <w:tcPr>
            <w:tcW w:w="0" w:type="auto"/>
            <w:shd w:val="clear" w:color="auto" w:fill="auto"/>
          </w:tcPr>
          <w:p w14:paraId="3750DE76" w14:textId="77777777" w:rsidR="002541AD" w:rsidRDefault="00901AA6">
            <w:pPr>
              <w:spacing w:line="288" w:lineRule="auto"/>
              <w:textAlignment w:val="top"/>
              <w:rPr>
                <w:rFonts w:ascii="Times New Roman" w:hAnsi="Times New Roman"/>
                <w:sz w:val="20"/>
                <w:szCs w:val="20"/>
              </w:rPr>
            </w:pPr>
            <w:r>
              <w:rPr>
                <w:rFonts w:ascii="Arial" w:eastAsia="宋体" w:hAnsi="Arial" w:cs="Arial"/>
                <w:color w:val="333333"/>
                <w:sz w:val="18"/>
                <w:szCs w:val="18"/>
              </w:rPr>
              <w:t>NSG</w:t>
            </w:r>
          </w:p>
        </w:tc>
      </w:tr>
    </w:tbl>
    <w:p w14:paraId="3750DE78" w14:textId="77777777" w:rsidR="002541AD" w:rsidRDefault="002541A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381"/>
      </w:tblGrid>
      <w:tr w:rsidR="002541AD" w14:paraId="3750DE7B" w14:textId="77777777">
        <w:trPr>
          <w:tblCellSpacing w:w="0" w:type="dxa"/>
        </w:trPr>
        <w:tc>
          <w:tcPr>
            <w:tcW w:w="480" w:type="dxa"/>
            <w:shd w:val="clear" w:color="auto" w:fill="auto"/>
            <w:vAlign w:val="center"/>
          </w:tcPr>
          <w:p w14:paraId="3750DE79" w14:textId="77777777" w:rsidR="002541AD" w:rsidRDefault="002541AD">
            <w:pPr>
              <w:rPr>
                <w:rFonts w:ascii="Times New Roman" w:hAnsi="Times New Roman"/>
                <w:sz w:val="20"/>
                <w:szCs w:val="20"/>
              </w:rPr>
            </w:pPr>
          </w:p>
        </w:tc>
        <w:tc>
          <w:tcPr>
            <w:tcW w:w="0" w:type="auto"/>
            <w:shd w:val="clear" w:color="auto" w:fill="auto"/>
            <w:vAlign w:val="center"/>
          </w:tcPr>
          <w:p w14:paraId="3750DE7A" w14:textId="77777777" w:rsidR="002541AD" w:rsidRDefault="002541AD">
            <w:pPr>
              <w:rPr>
                <w:rFonts w:ascii="Times New Roman" w:hAnsi="Times New Roman"/>
                <w:sz w:val="20"/>
                <w:szCs w:val="20"/>
              </w:rPr>
            </w:pPr>
          </w:p>
        </w:tc>
      </w:tr>
      <w:tr w:rsidR="002541AD" w14:paraId="3750DE7E" w14:textId="77777777">
        <w:trPr>
          <w:tblCellSpacing w:w="0" w:type="dxa"/>
        </w:trPr>
        <w:tc>
          <w:tcPr>
            <w:tcW w:w="0" w:type="auto"/>
            <w:shd w:val="clear" w:color="auto" w:fill="auto"/>
          </w:tcPr>
          <w:p w14:paraId="3750DE7C" w14:textId="77777777" w:rsidR="002541AD" w:rsidRDefault="00901AA6">
            <w:pPr>
              <w:spacing w:line="288" w:lineRule="auto"/>
              <w:textAlignment w:val="top"/>
              <w:rPr>
                <w:rFonts w:ascii="Times New Roman" w:hAnsi="Times New Roman"/>
                <w:sz w:val="20"/>
                <w:szCs w:val="20"/>
              </w:rPr>
            </w:pPr>
            <w:r>
              <w:rPr>
                <w:rFonts w:ascii="Arial" w:eastAsia="宋体" w:hAnsi="Arial" w:cs="Arial"/>
                <w:b/>
                <w:bCs/>
                <w:color w:val="0071C5"/>
                <w:sz w:val="20"/>
                <w:szCs w:val="20"/>
              </w:rPr>
              <w:t>•</w:t>
            </w:r>
          </w:p>
        </w:tc>
        <w:tc>
          <w:tcPr>
            <w:tcW w:w="0" w:type="auto"/>
            <w:shd w:val="clear" w:color="auto" w:fill="auto"/>
          </w:tcPr>
          <w:p w14:paraId="3750DE7D" w14:textId="77777777" w:rsidR="002541AD" w:rsidRDefault="00901AA6">
            <w:pPr>
              <w:spacing w:line="288" w:lineRule="auto"/>
              <w:textAlignment w:val="top"/>
              <w:rPr>
                <w:rFonts w:ascii="Times New Roman" w:hAnsi="Times New Roman"/>
                <w:sz w:val="20"/>
                <w:szCs w:val="20"/>
              </w:rPr>
            </w:pPr>
            <w:r>
              <w:rPr>
                <w:rFonts w:ascii="Arial" w:eastAsia="宋体" w:hAnsi="Arial" w:cs="Arial"/>
                <w:color w:val="333333"/>
                <w:sz w:val="18"/>
                <w:szCs w:val="18"/>
              </w:rPr>
              <w:t>PSG</w:t>
            </w:r>
          </w:p>
        </w:tc>
      </w:tr>
    </w:tbl>
    <w:p w14:paraId="3750DE7F" w14:textId="77777777" w:rsidR="002541AD" w:rsidRDefault="002541AD">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400"/>
      </w:tblGrid>
      <w:tr w:rsidR="002541AD" w14:paraId="3750DE82" w14:textId="77777777">
        <w:trPr>
          <w:tblCellSpacing w:w="0" w:type="dxa"/>
        </w:trPr>
        <w:tc>
          <w:tcPr>
            <w:tcW w:w="480" w:type="dxa"/>
            <w:shd w:val="clear" w:color="auto" w:fill="auto"/>
            <w:vAlign w:val="center"/>
          </w:tcPr>
          <w:p w14:paraId="3750DE80" w14:textId="77777777" w:rsidR="002541AD" w:rsidRDefault="002541AD">
            <w:pPr>
              <w:rPr>
                <w:rFonts w:ascii="Times New Roman" w:hAnsi="Times New Roman"/>
                <w:sz w:val="20"/>
                <w:szCs w:val="20"/>
              </w:rPr>
            </w:pPr>
          </w:p>
        </w:tc>
        <w:tc>
          <w:tcPr>
            <w:tcW w:w="0" w:type="auto"/>
            <w:shd w:val="clear" w:color="auto" w:fill="auto"/>
            <w:vAlign w:val="center"/>
          </w:tcPr>
          <w:p w14:paraId="3750DE81" w14:textId="77777777" w:rsidR="002541AD" w:rsidRDefault="002541AD">
            <w:pPr>
              <w:rPr>
                <w:rFonts w:ascii="Times New Roman" w:hAnsi="Times New Roman"/>
                <w:sz w:val="20"/>
                <w:szCs w:val="20"/>
              </w:rPr>
            </w:pPr>
          </w:p>
        </w:tc>
      </w:tr>
      <w:tr w:rsidR="002541AD" w14:paraId="3750DE85" w14:textId="77777777">
        <w:trPr>
          <w:tblCellSpacing w:w="0" w:type="dxa"/>
        </w:trPr>
        <w:tc>
          <w:tcPr>
            <w:tcW w:w="0" w:type="auto"/>
            <w:shd w:val="clear" w:color="auto" w:fill="auto"/>
          </w:tcPr>
          <w:p w14:paraId="3750DE83" w14:textId="77777777" w:rsidR="002541AD" w:rsidRDefault="00901AA6">
            <w:pPr>
              <w:spacing w:line="288" w:lineRule="auto"/>
              <w:textAlignment w:val="top"/>
              <w:rPr>
                <w:rFonts w:ascii="Times New Roman" w:hAnsi="Times New Roman"/>
                <w:sz w:val="20"/>
                <w:szCs w:val="20"/>
              </w:rPr>
            </w:pPr>
            <w:r>
              <w:rPr>
                <w:rFonts w:ascii="Arial" w:eastAsia="宋体" w:hAnsi="Arial" w:cs="Arial"/>
                <w:b/>
                <w:bCs/>
                <w:color w:val="0071C5"/>
                <w:sz w:val="20"/>
                <w:szCs w:val="20"/>
              </w:rPr>
              <w:t>•</w:t>
            </w:r>
          </w:p>
        </w:tc>
        <w:tc>
          <w:tcPr>
            <w:tcW w:w="0" w:type="auto"/>
            <w:shd w:val="clear" w:color="auto" w:fill="auto"/>
          </w:tcPr>
          <w:p w14:paraId="3750DE84" w14:textId="77777777" w:rsidR="002541AD" w:rsidRDefault="00901AA6">
            <w:pPr>
              <w:spacing w:line="288" w:lineRule="auto"/>
              <w:textAlignment w:val="top"/>
              <w:rPr>
                <w:rFonts w:ascii="Times New Roman" w:hAnsi="Times New Roman"/>
                <w:sz w:val="20"/>
                <w:szCs w:val="20"/>
              </w:rPr>
            </w:pPr>
            <w:r>
              <w:rPr>
                <w:rFonts w:ascii="Arial" w:eastAsia="宋体" w:hAnsi="Arial" w:cs="Arial"/>
                <w:color w:val="333333"/>
                <w:sz w:val="18"/>
                <w:szCs w:val="18"/>
              </w:rPr>
              <w:t>CCG</w:t>
            </w:r>
          </w:p>
        </w:tc>
      </w:tr>
    </w:tbl>
    <w:p w14:paraId="3750DE86"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We derive a substantial majority of our revenue from platform products, which are our principal products and considered as one class of product. We offer platform products that incorporate various components and technologies, including a microprocessor and</w:t>
      </w:r>
      <w:r>
        <w:rPr>
          <w:rFonts w:ascii="Arial" w:eastAsia="宋体" w:hAnsi="Arial" w:cs="Arial"/>
          <w:color w:val="333333"/>
          <w:sz w:val="18"/>
          <w:szCs w:val="18"/>
        </w:rPr>
        <w:t xml:space="preserve"> chipset, a stand-alone SoC, or a multichip package. Platform products are used in various form factors across our DCG, IOTG, and CCG operating segments. Our non-platform, or adjacent products, can be combined with platform products to form comprehensive p</w:t>
      </w:r>
      <w:r>
        <w:rPr>
          <w:rFonts w:ascii="Arial" w:eastAsia="宋体" w:hAnsi="Arial" w:cs="Arial"/>
          <w:color w:val="333333"/>
          <w:sz w:val="18"/>
          <w:szCs w:val="18"/>
        </w:rPr>
        <w:t xml:space="preserve">latform solutions to meet customer needs. </w:t>
      </w:r>
    </w:p>
    <w:p w14:paraId="3750DE87"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DCG and CCG are our reportable operating segments. IOTG, Mobileye, NSG, and PSG do not meet the quantitative thresholds to qualify as reportable operating segments; however, we have elected to disclose the results</w:t>
      </w:r>
      <w:r>
        <w:rPr>
          <w:rFonts w:ascii="Arial" w:eastAsia="宋体" w:hAnsi="Arial" w:cs="Arial"/>
          <w:color w:val="333333"/>
          <w:sz w:val="18"/>
          <w:szCs w:val="18"/>
        </w:rPr>
        <w:t xml:space="preserve"> of these non-reportable operating segments. Our Internet of Things portfolio, presented as Internet of Things, is comprised of IOTG and Mobileye operating segments. </w:t>
      </w:r>
    </w:p>
    <w:p w14:paraId="3750DE88"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We have an “all other” category that includes revenue, expenses, and charges such as:</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6104"/>
      </w:tblGrid>
      <w:tr w:rsidR="002541AD" w14:paraId="3750DE8B" w14:textId="77777777">
        <w:trPr>
          <w:tblCellSpacing w:w="0" w:type="dxa"/>
        </w:trPr>
        <w:tc>
          <w:tcPr>
            <w:tcW w:w="480" w:type="dxa"/>
            <w:shd w:val="clear" w:color="auto" w:fill="auto"/>
            <w:vAlign w:val="center"/>
          </w:tcPr>
          <w:p w14:paraId="3750DE89" w14:textId="77777777" w:rsidR="002541AD" w:rsidRDefault="002541AD">
            <w:pPr>
              <w:rPr>
                <w:rFonts w:ascii="Times New Roman" w:hAnsi="Times New Roman"/>
                <w:sz w:val="20"/>
                <w:szCs w:val="20"/>
              </w:rPr>
            </w:pPr>
          </w:p>
        </w:tc>
        <w:tc>
          <w:tcPr>
            <w:tcW w:w="0" w:type="auto"/>
            <w:shd w:val="clear" w:color="auto" w:fill="auto"/>
            <w:vAlign w:val="center"/>
          </w:tcPr>
          <w:p w14:paraId="3750DE8A" w14:textId="77777777" w:rsidR="002541AD" w:rsidRDefault="002541AD">
            <w:pPr>
              <w:rPr>
                <w:rFonts w:ascii="Times New Roman" w:hAnsi="Times New Roman"/>
                <w:sz w:val="20"/>
                <w:szCs w:val="20"/>
              </w:rPr>
            </w:pPr>
          </w:p>
        </w:tc>
      </w:tr>
      <w:tr w:rsidR="002541AD" w14:paraId="3750DE8E" w14:textId="77777777">
        <w:trPr>
          <w:tblCellSpacing w:w="0" w:type="dxa"/>
        </w:trPr>
        <w:tc>
          <w:tcPr>
            <w:tcW w:w="0" w:type="auto"/>
            <w:shd w:val="clear" w:color="auto" w:fill="auto"/>
          </w:tcPr>
          <w:p w14:paraId="3750DE8C" w14:textId="77777777" w:rsidR="002541AD" w:rsidRDefault="00901AA6">
            <w:pPr>
              <w:spacing w:line="288" w:lineRule="auto"/>
              <w:textAlignment w:val="top"/>
              <w:rPr>
                <w:rFonts w:ascii="Times New Roman" w:hAnsi="Times New Roman"/>
                <w:sz w:val="20"/>
                <w:szCs w:val="20"/>
              </w:rPr>
            </w:pPr>
            <w:r>
              <w:rPr>
                <w:rFonts w:ascii="Arial" w:eastAsia="宋体" w:hAnsi="Arial" w:cs="Arial"/>
                <w:b/>
                <w:bCs/>
                <w:color w:val="0071C5"/>
                <w:sz w:val="20"/>
                <w:szCs w:val="20"/>
              </w:rPr>
              <w:t>•</w:t>
            </w:r>
          </w:p>
        </w:tc>
        <w:tc>
          <w:tcPr>
            <w:tcW w:w="0" w:type="auto"/>
            <w:shd w:val="clear" w:color="auto" w:fill="auto"/>
          </w:tcPr>
          <w:p w14:paraId="3750DE8D" w14:textId="77777777" w:rsidR="002541AD" w:rsidRDefault="00901AA6">
            <w:pPr>
              <w:spacing w:line="288" w:lineRule="auto"/>
              <w:textAlignment w:val="top"/>
              <w:rPr>
                <w:rFonts w:ascii="Times New Roman" w:hAnsi="Times New Roman"/>
                <w:sz w:val="20"/>
                <w:szCs w:val="20"/>
              </w:rPr>
            </w:pPr>
            <w:r>
              <w:rPr>
                <w:rFonts w:ascii="Arial" w:eastAsia="宋体" w:hAnsi="Arial" w:cs="Arial"/>
                <w:color w:val="333333"/>
                <w:sz w:val="18"/>
                <w:szCs w:val="18"/>
              </w:rPr>
              <w:t>results of operations from non-reportable segments not otherwise presented;</w:t>
            </w:r>
          </w:p>
        </w:tc>
      </w:tr>
    </w:tbl>
    <w:p w14:paraId="3750DE8F" w14:textId="77777777" w:rsidR="002541AD" w:rsidRDefault="002541A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4513"/>
      </w:tblGrid>
      <w:tr w:rsidR="002541AD" w14:paraId="3750DE92" w14:textId="77777777">
        <w:trPr>
          <w:tblCellSpacing w:w="0" w:type="dxa"/>
        </w:trPr>
        <w:tc>
          <w:tcPr>
            <w:tcW w:w="480" w:type="dxa"/>
            <w:shd w:val="clear" w:color="auto" w:fill="auto"/>
            <w:vAlign w:val="center"/>
          </w:tcPr>
          <w:p w14:paraId="3750DE90" w14:textId="77777777" w:rsidR="002541AD" w:rsidRDefault="002541AD">
            <w:pPr>
              <w:rPr>
                <w:rFonts w:ascii="Times New Roman" w:hAnsi="Times New Roman"/>
                <w:sz w:val="20"/>
                <w:szCs w:val="20"/>
              </w:rPr>
            </w:pPr>
          </w:p>
        </w:tc>
        <w:tc>
          <w:tcPr>
            <w:tcW w:w="0" w:type="auto"/>
            <w:shd w:val="clear" w:color="auto" w:fill="auto"/>
            <w:vAlign w:val="center"/>
          </w:tcPr>
          <w:p w14:paraId="3750DE91" w14:textId="77777777" w:rsidR="002541AD" w:rsidRDefault="002541AD">
            <w:pPr>
              <w:rPr>
                <w:rFonts w:ascii="Times New Roman" w:hAnsi="Times New Roman"/>
                <w:sz w:val="20"/>
                <w:szCs w:val="20"/>
              </w:rPr>
            </w:pPr>
          </w:p>
        </w:tc>
      </w:tr>
      <w:tr w:rsidR="002541AD" w14:paraId="3750DE95" w14:textId="77777777">
        <w:trPr>
          <w:tblCellSpacing w:w="0" w:type="dxa"/>
        </w:trPr>
        <w:tc>
          <w:tcPr>
            <w:tcW w:w="0" w:type="auto"/>
            <w:shd w:val="clear" w:color="auto" w:fill="auto"/>
          </w:tcPr>
          <w:p w14:paraId="3750DE93" w14:textId="77777777" w:rsidR="002541AD" w:rsidRDefault="00901AA6">
            <w:pPr>
              <w:spacing w:line="288" w:lineRule="auto"/>
              <w:textAlignment w:val="top"/>
              <w:rPr>
                <w:rFonts w:ascii="Times New Roman" w:hAnsi="Times New Roman"/>
                <w:sz w:val="20"/>
                <w:szCs w:val="20"/>
              </w:rPr>
            </w:pPr>
            <w:r>
              <w:rPr>
                <w:rFonts w:ascii="Arial" w:eastAsia="宋体" w:hAnsi="Arial" w:cs="Arial"/>
                <w:b/>
                <w:bCs/>
                <w:color w:val="0071C5"/>
                <w:sz w:val="20"/>
                <w:szCs w:val="20"/>
              </w:rPr>
              <w:t>•</w:t>
            </w:r>
          </w:p>
        </w:tc>
        <w:tc>
          <w:tcPr>
            <w:tcW w:w="0" w:type="auto"/>
            <w:shd w:val="clear" w:color="auto" w:fill="auto"/>
          </w:tcPr>
          <w:p w14:paraId="3750DE94" w14:textId="77777777" w:rsidR="002541AD" w:rsidRDefault="00901AA6">
            <w:pPr>
              <w:spacing w:line="288" w:lineRule="auto"/>
              <w:textAlignment w:val="top"/>
              <w:rPr>
                <w:rFonts w:ascii="Times New Roman" w:hAnsi="Times New Roman"/>
                <w:sz w:val="20"/>
                <w:szCs w:val="20"/>
              </w:rPr>
            </w:pPr>
            <w:r>
              <w:rPr>
                <w:rFonts w:ascii="Arial" w:eastAsia="宋体" w:hAnsi="Arial" w:cs="Arial"/>
                <w:color w:val="333333"/>
                <w:sz w:val="18"/>
                <w:szCs w:val="18"/>
              </w:rPr>
              <w:t xml:space="preserve">historical results of operations from divested businesses; </w:t>
            </w:r>
          </w:p>
        </w:tc>
      </w:tr>
    </w:tbl>
    <w:p w14:paraId="3750DE96" w14:textId="77777777" w:rsidR="002541AD" w:rsidRDefault="002541A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2541AD" w14:paraId="3750DE99" w14:textId="77777777">
        <w:trPr>
          <w:tblCellSpacing w:w="0" w:type="dxa"/>
        </w:trPr>
        <w:tc>
          <w:tcPr>
            <w:tcW w:w="480" w:type="dxa"/>
            <w:shd w:val="clear" w:color="auto" w:fill="auto"/>
            <w:vAlign w:val="center"/>
          </w:tcPr>
          <w:p w14:paraId="3750DE97" w14:textId="77777777" w:rsidR="002541AD" w:rsidRDefault="002541AD">
            <w:pPr>
              <w:rPr>
                <w:rFonts w:ascii="Times New Roman" w:hAnsi="Times New Roman"/>
                <w:sz w:val="20"/>
                <w:szCs w:val="20"/>
              </w:rPr>
            </w:pPr>
          </w:p>
        </w:tc>
        <w:tc>
          <w:tcPr>
            <w:tcW w:w="0" w:type="auto"/>
            <w:shd w:val="clear" w:color="auto" w:fill="auto"/>
            <w:vAlign w:val="center"/>
          </w:tcPr>
          <w:p w14:paraId="3750DE98" w14:textId="77777777" w:rsidR="002541AD" w:rsidRDefault="002541AD">
            <w:pPr>
              <w:rPr>
                <w:rFonts w:ascii="Times New Roman" w:hAnsi="Times New Roman"/>
                <w:sz w:val="20"/>
                <w:szCs w:val="20"/>
              </w:rPr>
            </w:pPr>
          </w:p>
        </w:tc>
      </w:tr>
      <w:tr w:rsidR="002541AD" w14:paraId="3750DE9C" w14:textId="77777777">
        <w:trPr>
          <w:tblCellSpacing w:w="0" w:type="dxa"/>
        </w:trPr>
        <w:tc>
          <w:tcPr>
            <w:tcW w:w="0" w:type="auto"/>
            <w:shd w:val="clear" w:color="auto" w:fill="auto"/>
          </w:tcPr>
          <w:p w14:paraId="3750DE9A" w14:textId="77777777" w:rsidR="002541AD" w:rsidRDefault="00901AA6">
            <w:pPr>
              <w:spacing w:line="288" w:lineRule="auto"/>
              <w:textAlignment w:val="top"/>
              <w:rPr>
                <w:rFonts w:ascii="Times New Roman" w:hAnsi="Times New Roman"/>
                <w:sz w:val="20"/>
                <w:szCs w:val="20"/>
              </w:rPr>
            </w:pPr>
            <w:r>
              <w:rPr>
                <w:rFonts w:ascii="Arial" w:eastAsia="宋体" w:hAnsi="Arial" w:cs="Arial"/>
                <w:b/>
                <w:bCs/>
                <w:color w:val="0071C5"/>
                <w:sz w:val="20"/>
                <w:szCs w:val="20"/>
              </w:rPr>
              <w:t>•</w:t>
            </w:r>
          </w:p>
        </w:tc>
        <w:tc>
          <w:tcPr>
            <w:tcW w:w="0" w:type="auto"/>
            <w:shd w:val="clear" w:color="auto" w:fill="auto"/>
          </w:tcPr>
          <w:p w14:paraId="3750DE9B" w14:textId="77777777" w:rsidR="002541AD" w:rsidRDefault="00901AA6">
            <w:pPr>
              <w:spacing w:line="288" w:lineRule="auto"/>
              <w:textAlignment w:val="top"/>
              <w:rPr>
                <w:rFonts w:ascii="Times New Roman" w:hAnsi="Times New Roman"/>
                <w:sz w:val="20"/>
                <w:szCs w:val="20"/>
              </w:rPr>
            </w:pPr>
            <w:r>
              <w:rPr>
                <w:rFonts w:ascii="Arial" w:eastAsia="宋体" w:hAnsi="Arial" w:cs="Arial"/>
                <w:color w:val="333333"/>
                <w:sz w:val="18"/>
                <w:szCs w:val="18"/>
              </w:rPr>
              <w:t xml:space="preserve">results of operations of start-up businesses that support our initiatives, including our foundry business; </w:t>
            </w:r>
          </w:p>
        </w:tc>
      </w:tr>
    </w:tbl>
    <w:p w14:paraId="3750DE9D" w14:textId="77777777" w:rsidR="002541AD" w:rsidRDefault="002541A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4523"/>
      </w:tblGrid>
      <w:tr w:rsidR="002541AD" w14:paraId="3750DEA0" w14:textId="77777777">
        <w:trPr>
          <w:tblCellSpacing w:w="0" w:type="dxa"/>
        </w:trPr>
        <w:tc>
          <w:tcPr>
            <w:tcW w:w="480" w:type="dxa"/>
            <w:shd w:val="clear" w:color="auto" w:fill="auto"/>
            <w:vAlign w:val="center"/>
          </w:tcPr>
          <w:p w14:paraId="3750DE9E" w14:textId="77777777" w:rsidR="002541AD" w:rsidRDefault="002541AD">
            <w:pPr>
              <w:rPr>
                <w:rFonts w:ascii="Times New Roman" w:hAnsi="Times New Roman"/>
                <w:sz w:val="20"/>
                <w:szCs w:val="20"/>
              </w:rPr>
            </w:pPr>
          </w:p>
        </w:tc>
        <w:tc>
          <w:tcPr>
            <w:tcW w:w="0" w:type="auto"/>
            <w:shd w:val="clear" w:color="auto" w:fill="auto"/>
            <w:vAlign w:val="center"/>
          </w:tcPr>
          <w:p w14:paraId="3750DE9F" w14:textId="77777777" w:rsidR="002541AD" w:rsidRDefault="002541AD">
            <w:pPr>
              <w:rPr>
                <w:rFonts w:ascii="Times New Roman" w:hAnsi="Times New Roman"/>
                <w:sz w:val="20"/>
                <w:szCs w:val="20"/>
              </w:rPr>
            </w:pPr>
          </w:p>
        </w:tc>
      </w:tr>
      <w:tr w:rsidR="002541AD" w14:paraId="3750DEA3" w14:textId="77777777">
        <w:trPr>
          <w:tblCellSpacing w:w="0" w:type="dxa"/>
        </w:trPr>
        <w:tc>
          <w:tcPr>
            <w:tcW w:w="0" w:type="auto"/>
            <w:shd w:val="clear" w:color="auto" w:fill="auto"/>
          </w:tcPr>
          <w:p w14:paraId="3750DEA1" w14:textId="77777777" w:rsidR="002541AD" w:rsidRDefault="00901AA6">
            <w:pPr>
              <w:spacing w:line="288" w:lineRule="auto"/>
              <w:textAlignment w:val="top"/>
              <w:rPr>
                <w:rFonts w:ascii="Times New Roman" w:hAnsi="Times New Roman"/>
                <w:sz w:val="20"/>
                <w:szCs w:val="20"/>
              </w:rPr>
            </w:pPr>
            <w:r>
              <w:rPr>
                <w:rFonts w:ascii="Arial" w:eastAsia="宋体" w:hAnsi="Arial" w:cs="Arial"/>
                <w:b/>
                <w:bCs/>
                <w:color w:val="0071C5"/>
                <w:sz w:val="20"/>
                <w:szCs w:val="20"/>
              </w:rPr>
              <w:t>•</w:t>
            </w:r>
          </w:p>
        </w:tc>
        <w:tc>
          <w:tcPr>
            <w:tcW w:w="0" w:type="auto"/>
            <w:shd w:val="clear" w:color="auto" w:fill="auto"/>
          </w:tcPr>
          <w:p w14:paraId="3750DEA2" w14:textId="77777777" w:rsidR="002541AD" w:rsidRDefault="00901AA6">
            <w:pPr>
              <w:spacing w:line="288" w:lineRule="auto"/>
              <w:textAlignment w:val="top"/>
              <w:rPr>
                <w:rFonts w:ascii="Times New Roman" w:hAnsi="Times New Roman"/>
                <w:sz w:val="20"/>
                <w:szCs w:val="20"/>
              </w:rPr>
            </w:pPr>
            <w:r>
              <w:rPr>
                <w:rFonts w:ascii="Arial" w:eastAsia="宋体" w:hAnsi="Arial" w:cs="Arial"/>
                <w:color w:val="333333"/>
                <w:sz w:val="18"/>
                <w:szCs w:val="18"/>
              </w:rPr>
              <w:t xml:space="preserve">amounts included within restructuring and other charges; </w:t>
            </w:r>
          </w:p>
        </w:tc>
      </w:tr>
    </w:tbl>
    <w:p w14:paraId="3750DEA4" w14:textId="77777777" w:rsidR="002541AD" w:rsidRDefault="002541A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2541AD" w14:paraId="3750DEA7" w14:textId="77777777">
        <w:trPr>
          <w:tblCellSpacing w:w="0" w:type="dxa"/>
        </w:trPr>
        <w:tc>
          <w:tcPr>
            <w:tcW w:w="480" w:type="dxa"/>
            <w:shd w:val="clear" w:color="auto" w:fill="auto"/>
            <w:vAlign w:val="center"/>
          </w:tcPr>
          <w:p w14:paraId="3750DEA5" w14:textId="77777777" w:rsidR="002541AD" w:rsidRDefault="002541AD">
            <w:pPr>
              <w:rPr>
                <w:rFonts w:ascii="Times New Roman" w:hAnsi="Times New Roman"/>
                <w:sz w:val="20"/>
                <w:szCs w:val="20"/>
              </w:rPr>
            </w:pPr>
          </w:p>
        </w:tc>
        <w:tc>
          <w:tcPr>
            <w:tcW w:w="0" w:type="auto"/>
            <w:shd w:val="clear" w:color="auto" w:fill="auto"/>
            <w:vAlign w:val="center"/>
          </w:tcPr>
          <w:p w14:paraId="3750DEA6" w14:textId="77777777" w:rsidR="002541AD" w:rsidRDefault="002541AD">
            <w:pPr>
              <w:rPr>
                <w:rFonts w:ascii="Times New Roman" w:hAnsi="Times New Roman"/>
                <w:sz w:val="20"/>
                <w:szCs w:val="20"/>
              </w:rPr>
            </w:pPr>
          </w:p>
        </w:tc>
      </w:tr>
      <w:tr w:rsidR="002541AD" w14:paraId="3750DEAA" w14:textId="77777777">
        <w:trPr>
          <w:tblCellSpacing w:w="0" w:type="dxa"/>
        </w:trPr>
        <w:tc>
          <w:tcPr>
            <w:tcW w:w="0" w:type="auto"/>
            <w:shd w:val="clear" w:color="auto" w:fill="auto"/>
          </w:tcPr>
          <w:p w14:paraId="3750DEA8" w14:textId="77777777" w:rsidR="002541AD" w:rsidRDefault="00901AA6">
            <w:pPr>
              <w:spacing w:line="288" w:lineRule="auto"/>
              <w:textAlignment w:val="top"/>
              <w:rPr>
                <w:rFonts w:ascii="Times New Roman" w:hAnsi="Times New Roman"/>
                <w:sz w:val="20"/>
                <w:szCs w:val="20"/>
              </w:rPr>
            </w:pPr>
            <w:r>
              <w:rPr>
                <w:rFonts w:ascii="Arial" w:eastAsia="宋体" w:hAnsi="Arial" w:cs="Arial"/>
                <w:b/>
                <w:bCs/>
                <w:color w:val="0071C5"/>
                <w:sz w:val="20"/>
                <w:szCs w:val="20"/>
              </w:rPr>
              <w:t>•</w:t>
            </w:r>
          </w:p>
        </w:tc>
        <w:tc>
          <w:tcPr>
            <w:tcW w:w="0" w:type="auto"/>
            <w:shd w:val="clear" w:color="auto" w:fill="auto"/>
          </w:tcPr>
          <w:p w14:paraId="3750DEA9" w14:textId="77777777" w:rsidR="002541AD" w:rsidRDefault="00901AA6">
            <w:pPr>
              <w:spacing w:line="288" w:lineRule="auto"/>
              <w:textAlignment w:val="top"/>
              <w:rPr>
                <w:rFonts w:ascii="Times New Roman" w:hAnsi="Times New Roman"/>
                <w:sz w:val="20"/>
                <w:szCs w:val="20"/>
              </w:rPr>
            </w:pPr>
            <w:r>
              <w:rPr>
                <w:rFonts w:ascii="Arial" w:eastAsia="宋体" w:hAnsi="Arial" w:cs="Arial"/>
                <w:color w:val="333333"/>
                <w:sz w:val="18"/>
                <w:szCs w:val="18"/>
              </w:rPr>
              <w:t xml:space="preserve">a portion of employee benefits, compensation, and other expenses not allocated to the operating segments; and </w:t>
            </w:r>
          </w:p>
        </w:tc>
      </w:tr>
    </w:tbl>
    <w:p w14:paraId="3750DEAB" w14:textId="77777777" w:rsidR="002541AD" w:rsidRDefault="002541AD">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2541AD" w14:paraId="3750DEAE" w14:textId="77777777">
        <w:trPr>
          <w:tblCellSpacing w:w="0" w:type="dxa"/>
        </w:trPr>
        <w:tc>
          <w:tcPr>
            <w:tcW w:w="480" w:type="dxa"/>
            <w:shd w:val="clear" w:color="auto" w:fill="auto"/>
            <w:vAlign w:val="center"/>
          </w:tcPr>
          <w:p w14:paraId="3750DEAC" w14:textId="77777777" w:rsidR="002541AD" w:rsidRDefault="002541AD">
            <w:pPr>
              <w:rPr>
                <w:rFonts w:ascii="Times New Roman" w:hAnsi="Times New Roman"/>
                <w:sz w:val="20"/>
                <w:szCs w:val="20"/>
              </w:rPr>
            </w:pPr>
          </w:p>
        </w:tc>
        <w:tc>
          <w:tcPr>
            <w:tcW w:w="0" w:type="auto"/>
            <w:shd w:val="clear" w:color="auto" w:fill="auto"/>
            <w:vAlign w:val="center"/>
          </w:tcPr>
          <w:p w14:paraId="3750DEAD" w14:textId="77777777" w:rsidR="002541AD" w:rsidRDefault="002541AD">
            <w:pPr>
              <w:rPr>
                <w:rFonts w:ascii="Times New Roman" w:hAnsi="Times New Roman"/>
                <w:sz w:val="20"/>
                <w:szCs w:val="20"/>
              </w:rPr>
            </w:pPr>
          </w:p>
        </w:tc>
      </w:tr>
      <w:tr w:rsidR="002541AD" w14:paraId="3750DEB1" w14:textId="77777777">
        <w:trPr>
          <w:tblCellSpacing w:w="0" w:type="dxa"/>
        </w:trPr>
        <w:tc>
          <w:tcPr>
            <w:tcW w:w="0" w:type="auto"/>
            <w:shd w:val="clear" w:color="auto" w:fill="auto"/>
          </w:tcPr>
          <w:p w14:paraId="3750DEAF" w14:textId="77777777" w:rsidR="002541AD" w:rsidRDefault="00901AA6">
            <w:pPr>
              <w:spacing w:line="288" w:lineRule="auto"/>
              <w:textAlignment w:val="top"/>
              <w:rPr>
                <w:rFonts w:ascii="Times New Roman" w:hAnsi="Times New Roman"/>
                <w:sz w:val="20"/>
                <w:szCs w:val="20"/>
              </w:rPr>
            </w:pPr>
            <w:r>
              <w:rPr>
                <w:rFonts w:ascii="Arial" w:eastAsia="宋体" w:hAnsi="Arial" w:cs="Arial"/>
                <w:b/>
                <w:bCs/>
                <w:color w:val="0071C5"/>
                <w:sz w:val="20"/>
                <w:szCs w:val="20"/>
              </w:rPr>
              <w:t>•</w:t>
            </w:r>
          </w:p>
        </w:tc>
        <w:tc>
          <w:tcPr>
            <w:tcW w:w="0" w:type="auto"/>
            <w:shd w:val="clear" w:color="auto" w:fill="auto"/>
          </w:tcPr>
          <w:p w14:paraId="3750DEB0" w14:textId="77777777" w:rsidR="002541AD" w:rsidRDefault="00901AA6">
            <w:pPr>
              <w:spacing w:line="288" w:lineRule="auto"/>
              <w:textAlignment w:val="top"/>
              <w:rPr>
                <w:rFonts w:ascii="Times New Roman" w:hAnsi="Times New Roman"/>
                <w:sz w:val="20"/>
                <w:szCs w:val="20"/>
              </w:rPr>
            </w:pPr>
            <w:r>
              <w:rPr>
                <w:rFonts w:ascii="Arial" w:eastAsia="宋体" w:hAnsi="Arial" w:cs="Arial"/>
                <w:color w:val="333333"/>
                <w:sz w:val="18"/>
                <w:szCs w:val="18"/>
              </w:rPr>
              <w:t xml:space="preserve">acquisition-related costs, including amortization and any impairment of acquisition-related intangibles and goodwill. </w:t>
            </w:r>
          </w:p>
        </w:tc>
      </w:tr>
    </w:tbl>
    <w:p w14:paraId="3750DEB2"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The CODM, who is our CEO, does not evaluate operating segments using discrete asset information. Operating segments do not record inter-</w:t>
      </w:r>
      <w:r>
        <w:rPr>
          <w:rFonts w:ascii="Arial" w:eastAsia="宋体" w:hAnsi="Arial" w:cs="Arial"/>
          <w:color w:val="333333"/>
          <w:sz w:val="18"/>
          <w:szCs w:val="18"/>
        </w:rPr>
        <w:t>segment revenue. We do not allocate gains and losses from equity investments, interest and other income, or taxes to operating segments. Although the CODM uses operating income to evaluate the segments, operating costs included in one segment may benefit o</w:t>
      </w:r>
      <w:r>
        <w:rPr>
          <w:rFonts w:ascii="Arial" w:eastAsia="宋体" w:hAnsi="Arial" w:cs="Arial"/>
          <w:color w:val="333333"/>
          <w:sz w:val="18"/>
          <w:szCs w:val="18"/>
        </w:rPr>
        <w:t>ther segments. Except for these differences, the accounting policies for segment reporting are the same as for Intel as a whole.</w:t>
      </w:r>
    </w:p>
    <w:p w14:paraId="3750DEB3" w14:textId="77777777" w:rsidR="002541AD" w:rsidRDefault="002541AD">
      <w:pPr>
        <w:spacing w:line="288" w:lineRule="auto"/>
        <w:rPr>
          <w:rFonts w:ascii="Times New Roman" w:hAnsi="Times New Roman"/>
          <w:sz w:val="18"/>
          <w:szCs w:val="18"/>
        </w:rPr>
      </w:pPr>
    </w:p>
    <w:p w14:paraId="3750DEB4" w14:textId="77777777" w:rsidR="002541AD" w:rsidRDefault="002541AD">
      <w:pPr>
        <w:spacing w:line="288" w:lineRule="auto"/>
        <w:rPr>
          <w:rFonts w:ascii="Times New Roman" w:hAnsi="Times New Roman"/>
          <w:sz w:val="18"/>
          <w:szCs w:val="18"/>
        </w:rPr>
      </w:pPr>
    </w:p>
    <w:p w14:paraId="3750DEB5"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DEB7" w14:textId="77777777">
        <w:tc>
          <w:tcPr>
            <w:tcW w:w="0" w:type="auto"/>
            <w:gridSpan w:val="3"/>
            <w:shd w:val="clear" w:color="auto" w:fill="auto"/>
            <w:vAlign w:val="center"/>
          </w:tcPr>
          <w:p w14:paraId="3750DEB6" w14:textId="77777777" w:rsidR="002541AD" w:rsidRDefault="002541AD">
            <w:pPr>
              <w:rPr>
                <w:rFonts w:ascii="Times New Roman" w:hAnsi="Times New Roman"/>
                <w:sz w:val="20"/>
                <w:szCs w:val="20"/>
              </w:rPr>
            </w:pPr>
          </w:p>
        </w:tc>
      </w:tr>
      <w:tr w:rsidR="002541AD" w14:paraId="3750DEBB" w14:textId="77777777">
        <w:tc>
          <w:tcPr>
            <w:tcW w:w="1550" w:type="pct"/>
            <w:shd w:val="clear" w:color="auto" w:fill="auto"/>
            <w:vAlign w:val="center"/>
          </w:tcPr>
          <w:p w14:paraId="3750DEB8" w14:textId="77777777" w:rsidR="002541AD" w:rsidRDefault="002541AD">
            <w:pPr>
              <w:rPr>
                <w:rFonts w:ascii="Times New Roman" w:hAnsi="Times New Roman"/>
                <w:sz w:val="20"/>
                <w:szCs w:val="20"/>
              </w:rPr>
            </w:pPr>
          </w:p>
        </w:tc>
        <w:tc>
          <w:tcPr>
            <w:tcW w:w="2200" w:type="pct"/>
            <w:shd w:val="clear" w:color="auto" w:fill="auto"/>
            <w:vAlign w:val="center"/>
          </w:tcPr>
          <w:p w14:paraId="3750DEB9" w14:textId="77777777" w:rsidR="002541AD" w:rsidRDefault="002541AD">
            <w:pPr>
              <w:rPr>
                <w:rFonts w:ascii="Times New Roman" w:hAnsi="Times New Roman"/>
                <w:sz w:val="20"/>
                <w:szCs w:val="20"/>
              </w:rPr>
            </w:pPr>
          </w:p>
        </w:tc>
        <w:tc>
          <w:tcPr>
            <w:tcW w:w="1250" w:type="pct"/>
            <w:shd w:val="clear" w:color="auto" w:fill="auto"/>
            <w:vAlign w:val="center"/>
          </w:tcPr>
          <w:p w14:paraId="3750DEBA" w14:textId="77777777" w:rsidR="002541AD" w:rsidRDefault="002541AD">
            <w:pPr>
              <w:rPr>
                <w:rFonts w:ascii="Times New Roman" w:hAnsi="Times New Roman"/>
                <w:sz w:val="20"/>
                <w:szCs w:val="20"/>
              </w:rPr>
            </w:pPr>
          </w:p>
        </w:tc>
      </w:tr>
      <w:tr w:rsidR="002541AD" w14:paraId="3750DEBF" w14:textId="77777777">
        <w:tc>
          <w:tcPr>
            <w:tcW w:w="0" w:type="auto"/>
            <w:tcBorders>
              <w:top w:val="single" w:sz="8" w:space="0" w:color="0071C5"/>
              <w:right w:val="single" w:sz="24" w:space="0" w:color="0071C5"/>
            </w:tcBorders>
            <w:shd w:val="clear" w:color="auto" w:fill="auto"/>
            <w:tcMar>
              <w:top w:w="40" w:type="dxa"/>
              <w:left w:w="40" w:type="dxa"/>
              <w:bottom w:w="40" w:type="dxa"/>
              <w:right w:w="40" w:type="dxa"/>
            </w:tcMar>
            <w:vAlign w:val="center"/>
          </w:tcPr>
          <w:p w14:paraId="3750DEBC"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5F" wp14:editId="3750F860">
                  <wp:extent cx="304800" cy="304800"/>
                  <wp:effectExtent l="0" t="0" r="0" b="0"/>
                  <wp:docPr id="54" name="图片 61"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1"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EBD"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EBE"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11</w:t>
            </w:r>
          </w:p>
        </w:tc>
      </w:tr>
    </w:tbl>
    <w:p w14:paraId="3750DEC0" w14:textId="77777777" w:rsidR="002541AD" w:rsidRDefault="002541AD">
      <w:pPr>
        <w:spacing w:line="288" w:lineRule="auto"/>
        <w:rPr>
          <w:rFonts w:ascii="Times New Roman" w:hAnsi="Times New Roman"/>
          <w:sz w:val="18"/>
          <w:szCs w:val="18"/>
        </w:rPr>
      </w:pPr>
    </w:p>
    <w:p w14:paraId="3750DEC1" w14:textId="77777777" w:rsidR="002541AD" w:rsidRDefault="002541AD">
      <w:pPr>
        <w:spacing w:line="288" w:lineRule="auto"/>
        <w:rPr>
          <w:rFonts w:ascii="Times New Roman" w:hAnsi="Times New Roman"/>
          <w:sz w:val="18"/>
          <w:szCs w:val="18"/>
        </w:rPr>
      </w:pPr>
    </w:p>
    <w:p w14:paraId="3750DEC2" w14:textId="77777777" w:rsidR="002541AD" w:rsidRDefault="00901AA6">
      <w:r>
        <w:rPr>
          <w:rFonts w:ascii="Times New Roman" w:hAnsi="Times New Roman"/>
          <w:sz w:val="18"/>
          <w:szCs w:val="18"/>
        </w:rPr>
        <w:pict w14:anchorId="3750F861">
          <v:rect id="_x0000_i1037" style="width:415.3pt;height:1.5pt" o:hralign="center" o:hrstd="t" o:hr="t" fillcolor="#a0a0a0" stroked="f"/>
        </w:pict>
      </w:r>
    </w:p>
    <w:p w14:paraId="3750DEC3" w14:textId="77777777" w:rsidR="002541AD" w:rsidRDefault="00901AA6">
      <w:pPr>
        <w:spacing w:line="288" w:lineRule="auto"/>
        <w:jc w:val="right"/>
        <w:rPr>
          <w:rFonts w:ascii="Times New Roman" w:hAnsi="Times New Roman"/>
          <w:sz w:val="16"/>
          <w:szCs w:val="16"/>
        </w:rPr>
      </w:pPr>
      <w:hyperlink r:id="rId40" w:anchor="s2CABEAF4222C52B4A34547BF538A8C27" w:history="1">
        <w:r>
          <w:rPr>
            <w:rStyle w:val="a5"/>
            <w:rFonts w:ascii="Arial" w:eastAsia="宋体" w:hAnsi="Arial" w:cs="Arial"/>
            <w:b/>
            <w:bCs/>
            <w:sz w:val="16"/>
            <w:szCs w:val="16"/>
          </w:rPr>
          <w:t>Table of Contents</w:t>
        </w:r>
      </w:hyperlink>
    </w:p>
    <w:p w14:paraId="3750DEC4" w14:textId="77777777" w:rsidR="002541AD" w:rsidRDefault="002541AD">
      <w:pPr>
        <w:spacing w:line="288" w:lineRule="auto"/>
        <w:jc w:val="right"/>
        <w:rPr>
          <w:rFonts w:ascii="Times New Roman" w:hAnsi="Times New Roman"/>
          <w:sz w:val="18"/>
          <w:szCs w:val="18"/>
        </w:rPr>
      </w:pPr>
    </w:p>
    <w:p w14:paraId="3750DEC5" w14:textId="77777777" w:rsidR="002541AD" w:rsidRDefault="002541AD">
      <w:pPr>
        <w:rPr>
          <w:rFonts w:ascii="Times New Roman" w:hAnsi="Times New Roman"/>
          <w:sz w:val="20"/>
          <w:szCs w:val="20"/>
        </w:rPr>
      </w:pPr>
    </w:p>
    <w:p w14:paraId="3750DEC6"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Net revenue and operating income (loss) for each period were as follows:</w:t>
      </w:r>
    </w:p>
    <w:tbl>
      <w:tblPr>
        <w:tblW w:w="5000" w:type="pct"/>
        <w:tblCellMar>
          <w:left w:w="0" w:type="dxa"/>
          <w:right w:w="0" w:type="dxa"/>
        </w:tblCellMar>
        <w:tblLook w:val="04A0" w:firstRow="1" w:lastRow="0" w:firstColumn="1" w:lastColumn="0" w:noHBand="0" w:noVBand="1"/>
      </w:tblPr>
      <w:tblGrid>
        <w:gridCol w:w="6064"/>
        <w:gridCol w:w="130"/>
        <w:gridCol w:w="141"/>
        <w:gridCol w:w="750"/>
        <w:gridCol w:w="100"/>
        <w:gridCol w:w="130"/>
        <w:gridCol w:w="141"/>
        <w:gridCol w:w="750"/>
        <w:gridCol w:w="100"/>
      </w:tblGrid>
      <w:tr w:rsidR="002541AD" w14:paraId="3750DEC8" w14:textId="77777777">
        <w:tc>
          <w:tcPr>
            <w:tcW w:w="0" w:type="auto"/>
            <w:gridSpan w:val="9"/>
            <w:shd w:val="clear" w:color="auto" w:fill="auto"/>
            <w:vAlign w:val="center"/>
          </w:tcPr>
          <w:p w14:paraId="3750DEC7" w14:textId="77777777" w:rsidR="002541AD" w:rsidRDefault="002541AD">
            <w:pPr>
              <w:rPr>
                <w:rFonts w:ascii="Times New Roman" w:hAnsi="Times New Roman"/>
                <w:sz w:val="20"/>
                <w:szCs w:val="20"/>
              </w:rPr>
            </w:pPr>
          </w:p>
        </w:tc>
      </w:tr>
      <w:tr w:rsidR="002541AD" w14:paraId="3750DED2" w14:textId="77777777">
        <w:tc>
          <w:tcPr>
            <w:tcW w:w="3700" w:type="pct"/>
            <w:shd w:val="clear" w:color="auto" w:fill="auto"/>
            <w:vAlign w:val="center"/>
          </w:tcPr>
          <w:p w14:paraId="3750DEC9" w14:textId="77777777" w:rsidR="002541AD" w:rsidRDefault="002541AD">
            <w:pPr>
              <w:rPr>
                <w:rFonts w:ascii="Times New Roman" w:hAnsi="Times New Roman"/>
                <w:sz w:val="20"/>
                <w:szCs w:val="20"/>
              </w:rPr>
            </w:pPr>
          </w:p>
        </w:tc>
        <w:tc>
          <w:tcPr>
            <w:tcW w:w="50" w:type="pct"/>
            <w:shd w:val="clear" w:color="auto" w:fill="auto"/>
            <w:vAlign w:val="center"/>
          </w:tcPr>
          <w:p w14:paraId="3750DECA" w14:textId="77777777" w:rsidR="002541AD" w:rsidRDefault="002541AD">
            <w:pPr>
              <w:rPr>
                <w:rFonts w:ascii="Times New Roman" w:hAnsi="Times New Roman"/>
                <w:sz w:val="20"/>
                <w:szCs w:val="20"/>
              </w:rPr>
            </w:pPr>
          </w:p>
        </w:tc>
        <w:tc>
          <w:tcPr>
            <w:tcW w:w="50" w:type="pct"/>
            <w:shd w:val="clear" w:color="auto" w:fill="auto"/>
            <w:vAlign w:val="center"/>
          </w:tcPr>
          <w:p w14:paraId="3750DECB" w14:textId="77777777" w:rsidR="002541AD" w:rsidRDefault="002541AD">
            <w:pPr>
              <w:rPr>
                <w:rFonts w:ascii="Times New Roman" w:hAnsi="Times New Roman"/>
                <w:sz w:val="20"/>
                <w:szCs w:val="20"/>
              </w:rPr>
            </w:pPr>
          </w:p>
        </w:tc>
        <w:tc>
          <w:tcPr>
            <w:tcW w:w="500" w:type="pct"/>
            <w:shd w:val="clear" w:color="auto" w:fill="auto"/>
            <w:vAlign w:val="center"/>
          </w:tcPr>
          <w:p w14:paraId="3750DECC" w14:textId="77777777" w:rsidR="002541AD" w:rsidRDefault="002541AD">
            <w:pPr>
              <w:rPr>
                <w:rFonts w:ascii="Times New Roman" w:hAnsi="Times New Roman"/>
                <w:sz w:val="20"/>
                <w:szCs w:val="20"/>
              </w:rPr>
            </w:pPr>
          </w:p>
        </w:tc>
        <w:tc>
          <w:tcPr>
            <w:tcW w:w="50" w:type="pct"/>
            <w:shd w:val="clear" w:color="auto" w:fill="auto"/>
            <w:vAlign w:val="center"/>
          </w:tcPr>
          <w:p w14:paraId="3750DECD" w14:textId="77777777" w:rsidR="002541AD" w:rsidRDefault="002541AD">
            <w:pPr>
              <w:rPr>
                <w:rFonts w:ascii="Times New Roman" w:hAnsi="Times New Roman"/>
                <w:sz w:val="20"/>
                <w:szCs w:val="20"/>
              </w:rPr>
            </w:pPr>
          </w:p>
        </w:tc>
        <w:tc>
          <w:tcPr>
            <w:tcW w:w="50" w:type="pct"/>
            <w:shd w:val="clear" w:color="auto" w:fill="auto"/>
            <w:vAlign w:val="center"/>
          </w:tcPr>
          <w:p w14:paraId="3750DECE" w14:textId="77777777" w:rsidR="002541AD" w:rsidRDefault="002541AD">
            <w:pPr>
              <w:rPr>
                <w:rFonts w:ascii="Times New Roman" w:hAnsi="Times New Roman"/>
                <w:sz w:val="20"/>
                <w:szCs w:val="20"/>
              </w:rPr>
            </w:pPr>
          </w:p>
        </w:tc>
        <w:tc>
          <w:tcPr>
            <w:tcW w:w="50" w:type="pct"/>
            <w:shd w:val="clear" w:color="auto" w:fill="auto"/>
            <w:vAlign w:val="center"/>
          </w:tcPr>
          <w:p w14:paraId="3750DECF" w14:textId="77777777" w:rsidR="002541AD" w:rsidRDefault="002541AD">
            <w:pPr>
              <w:rPr>
                <w:rFonts w:ascii="Times New Roman" w:hAnsi="Times New Roman"/>
                <w:sz w:val="20"/>
                <w:szCs w:val="20"/>
              </w:rPr>
            </w:pPr>
          </w:p>
        </w:tc>
        <w:tc>
          <w:tcPr>
            <w:tcW w:w="500" w:type="pct"/>
            <w:shd w:val="clear" w:color="auto" w:fill="auto"/>
            <w:vAlign w:val="center"/>
          </w:tcPr>
          <w:p w14:paraId="3750DED0" w14:textId="77777777" w:rsidR="002541AD" w:rsidRDefault="002541AD">
            <w:pPr>
              <w:rPr>
                <w:rFonts w:ascii="Times New Roman" w:hAnsi="Times New Roman"/>
                <w:sz w:val="20"/>
                <w:szCs w:val="20"/>
              </w:rPr>
            </w:pPr>
          </w:p>
        </w:tc>
        <w:tc>
          <w:tcPr>
            <w:tcW w:w="50" w:type="pct"/>
            <w:shd w:val="clear" w:color="auto" w:fill="auto"/>
            <w:vAlign w:val="center"/>
          </w:tcPr>
          <w:p w14:paraId="3750DED1" w14:textId="77777777" w:rsidR="002541AD" w:rsidRDefault="002541AD">
            <w:pPr>
              <w:rPr>
                <w:rFonts w:ascii="Times New Roman" w:hAnsi="Times New Roman"/>
                <w:sz w:val="20"/>
                <w:szCs w:val="20"/>
              </w:rPr>
            </w:pPr>
          </w:p>
        </w:tc>
      </w:tr>
      <w:tr w:rsidR="002541AD" w14:paraId="3750DED6" w14:textId="77777777">
        <w:tc>
          <w:tcPr>
            <w:tcW w:w="0" w:type="auto"/>
            <w:shd w:val="clear" w:color="auto" w:fill="auto"/>
            <w:tcMar>
              <w:top w:w="40" w:type="dxa"/>
              <w:left w:w="40" w:type="dxa"/>
              <w:bottom w:w="40" w:type="dxa"/>
              <w:right w:w="40" w:type="dxa"/>
            </w:tcMar>
            <w:vAlign w:val="bottom"/>
          </w:tcPr>
          <w:p w14:paraId="3750DED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ED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3750DED5"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Three Months Ended</w:t>
            </w:r>
          </w:p>
        </w:tc>
      </w:tr>
      <w:tr w:rsidR="002541AD" w14:paraId="3750DEDC"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DED7"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DED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DED9"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c>
          <w:tcPr>
            <w:tcW w:w="0" w:type="auto"/>
            <w:shd w:val="clear" w:color="auto" w:fill="auto"/>
            <w:tcMar>
              <w:top w:w="40" w:type="dxa"/>
              <w:left w:w="40" w:type="dxa"/>
              <w:bottom w:w="40" w:type="dxa"/>
              <w:right w:w="40" w:type="dxa"/>
            </w:tcMar>
            <w:vAlign w:val="bottom"/>
          </w:tcPr>
          <w:p w14:paraId="3750DED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DEDB"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30, </w:t>
            </w:r>
            <w:r>
              <w:rPr>
                <w:rFonts w:ascii="Arial" w:eastAsia="宋体" w:hAnsi="Arial" w:cs="Arial"/>
                <w:b/>
                <w:bCs/>
                <w:color w:val="333333"/>
                <w:sz w:val="18"/>
                <w:szCs w:val="18"/>
              </w:rPr>
              <w:br/>
              <w:t>2019</w:t>
            </w:r>
          </w:p>
        </w:tc>
      </w:tr>
      <w:tr w:rsidR="002541AD" w14:paraId="3750DEE2" w14:textId="77777777">
        <w:tc>
          <w:tcPr>
            <w:tcW w:w="0" w:type="auto"/>
            <w:shd w:val="clear" w:color="auto" w:fill="auto"/>
            <w:tcMar>
              <w:top w:w="40" w:type="dxa"/>
              <w:left w:w="40" w:type="dxa"/>
              <w:bottom w:w="40" w:type="dxa"/>
              <w:right w:w="40" w:type="dxa"/>
            </w:tcMar>
            <w:vAlign w:val="bottom"/>
          </w:tcPr>
          <w:p w14:paraId="3750DEDD"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Net revenue:</w:t>
            </w:r>
          </w:p>
        </w:tc>
        <w:tc>
          <w:tcPr>
            <w:tcW w:w="0" w:type="auto"/>
            <w:shd w:val="clear" w:color="auto" w:fill="auto"/>
            <w:tcMar>
              <w:top w:w="40" w:type="dxa"/>
              <w:left w:w="40" w:type="dxa"/>
              <w:bottom w:w="40" w:type="dxa"/>
              <w:right w:w="40" w:type="dxa"/>
            </w:tcMar>
            <w:vAlign w:val="bottom"/>
          </w:tcPr>
          <w:p w14:paraId="3750DED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ED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EE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EE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EE8" w14:textId="77777777">
        <w:tc>
          <w:tcPr>
            <w:tcW w:w="0" w:type="auto"/>
            <w:shd w:val="clear" w:color="auto" w:fill="auto"/>
            <w:tcMar>
              <w:top w:w="40" w:type="dxa"/>
              <w:left w:w="240" w:type="dxa"/>
              <w:bottom w:w="40" w:type="dxa"/>
              <w:right w:w="40" w:type="dxa"/>
            </w:tcMar>
            <w:vAlign w:val="bottom"/>
          </w:tcPr>
          <w:p w14:paraId="3750DEE3"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Data Center Group</w:t>
            </w:r>
          </w:p>
        </w:tc>
        <w:tc>
          <w:tcPr>
            <w:tcW w:w="0" w:type="auto"/>
            <w:shd w:val="clear" w:color="auto" w:fill="auto"/>
            <w:tcMar>
              <w:top w:w="40" w:type="dxa"/>
              <w:left w:w="40" w:type="dxa"/>
              <w:bottom w:w="40" w:type="dxa"/>
              <w:right w:w="40" w:type="dxa"/>
            </w:tcMar>
            <w:vAlign w:val="bottom"/>
          </w:tcPr>
          <w:p w14:paraId="3750DEE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EE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EE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EE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EF2" w14:textId="77777777">
        <w:tc>
          <w:tcPr>
            <w:tcW w:w="0" w:type="auto"/>
            <w:shd w:val="clear" w:color="auto" w:fill="auto"/>
            <w:tcMar>
              <w:top w:w="40" w:type="dxa"/>
              <w:left w:w="400" w:type="dxa"/>
              <w:bottom w:w="40" w:type="dxa"/>
              <w:right w:w="40" w:type="dxa"/>
            </w:tcMar>
            <w:vAlign w:val="bottom"/>
          </w:tcPr>
          <w:p w14:paraId="3750DEE9" w14:textId="77777777" w:rsidR="002541AD" w:rsidRDefault="00901AA6">
            <w:pPr>
              <w:ind w:hanging="240"/>
              <w:textAlignment w:val="bottom"/>
              <w:rPr>
                <w:rFonts w:ascii="Times New Roman" w:hAnsi="Times New Roman"/>
                <w:sz w:val="18"/>
                <w:szCs w:val="18"/>
              </w:rPr>
            </w:pPr>
            <w:r>
              <w:rPr>
                <w:rFonts w:ascii="Arial" w:eastAsia="宋体" w:hAnsi="Arial" w:cs="Arial"/>
                <w:color w:val="333333"/>
                <w:sz w:val="18"/>
                <w:szCs w:val="18"/>
              </w:rPr>
              <w:t>Platform</w:t>
            </w:r>
          </w:p>
        </w:tc>
        <w:tc>
          <w:tcPr>
            <w:tcW w:w="0" w:type="auto"/>
            <w:shd w:val="clear" w:color="auto" w:fill="auto"/>
            <w:tcMar>
              <w:top w:w="40" w:type="dxa"/>
              <w:left w:w="40" w:type="dxa"/>
              <w:bottom w:w="40" w:type="dxa"/>
              <w:right w:w="40" w:type="dxa"/>
            </w:tcMar>
            <w:vAlign w:val="bottom"/>
          </w:tcPr>
          <w:p w14:paraId="3750DEE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EEB"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DEEC"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6,427</w:t>
            </w:r>
          </w:p>
        </w:tc>
        <w:tc>
          <w:tcPr>
            <w:tcW w:w="0" w:type="auto"/>
            <w:shd w:val="clear" w:color="auto" w:fill="auto"/>
            <w:vAlign w:val="bottom"/>
          </w:tcPr>
          <w:p w14:paraId="3750DEE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EE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EEF"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DEF0"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4,482</w:t>
            </w:r>
          </w:p>
        </w:tc>
        <w:tc>
          <w:tcPr>
            <w:tcW w:w="0" w:type="auto"/>
            <w:shd w:val="clear" w:color="auto" w:fill="auto"/>
            <w:vAlign w:val="bottom"/>
          </w:tcPr>
          <w:p w14:paraId="3750DEF1" w14:textId="77777777" w:rsidR="002541AD" w:rsidRDefault="002541AD">
            <w:pPr>
              <w:textAlignment w:val="bottom"/>
              <w:rPr>
                <w:rFonts w:ascii="Times New Roman" w:hAnsi="Times New Roman"/>
                <w:sz w:val="20"/>
                <w:szCs w:val="20"/>
              </w:rPr>
            </w:pPr>
          </w:p>
        </w:tc>
      </w:tr>
      <w:tr w:rsidR="002541AD" w14:paraId="3750DEFA" w14:textId="77777777">
        <w:tc>
          <w:tcPr>
            <w:tcW w:w="0" w:type="auto"/>
            <w:shd w:val="clear" w:color="auto" w:fill="auto"/>
            <w:tcMar>
              <w:top w:w="40" w:type="dxa"/>
              <w:left w:w="400" w:type="dxa"/>
              <w:bottom w:w="40" w:type="dxa"/>
              <w:right w:w="40" w:type="dxa"/>
            </w:tcMar>
            <w:vAlign w:val="bottom"/>
          </w:tcPr>
          <w:p w14:paraId="3750DEF3" w14:textId="77777777" w:rsidR="002541AD" w:rsidRDefault="00901AA6">
            <w:pPr>
              <w:ind w:hanging="240"/>
              <w:textAlignment w:val="bottom"/>
              <w:rPr>
                <w:rFonts w:ascii="Times New Roman" w:hAnsi="Times New Roman"/>
                <w:sz w:val="18"/>
                <w:szCs w:val="18"/>
              </w:rPr>
            </w:pPr>
            <w:r>
              <w:rPr>
                <w:rFonts w:ascii="Arial" w:eastAsia="宋体" w:hAnsi="Arial" w:cs="Arial"/>
                <w:color w:val="333333"/>
                <w:sz w:val="18"/>
                <w:szCs w:val="18"/>
              </w:rPr>
              <w:t>Adjacent</w:t>
            </w:r>
          </w:p>
        </w:tc>
        <w:tc>
          <w:tcPr>
            <w:tcW w:w="0" w:type="auto"/>
            <w:shd w:val="clear" w:color="auto" w:fill="auto"/>
            <w:tcMar>
              <w:top w:w="40" w:type="dxa"/>
              <w:left w:w="40" w:type="dxa"/>
              <w:bottom w:w="40" w:type="dxa"/>
              <w:right w:w="40" w:type="dxa"/>
            </w:tcMar>
            <w:vAlign w:val="bottom"/>
          </w:tcPr>
          <w:p w14:paraId="3750DEF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DEF5"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566</w:t>
            </w:r>
          </w:p>
        </w:tc>
        <w:tc>
          <w:tcPr>
            <w:tcW w:w="0" w:type="auto"/>
            <w:tcBorders>
              <w:bottom w:val="single" w:sz="8" w:space="0" w:color="333333"/>
            </w:tcBorders>
            <w:shd w:val="clear" w:color="auto" w:fill="auto"/>
            <w:vAlign w:val="bottom"/>
          </w:tcPr>
          <w:p w14:paraId="3750DEF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EF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DEF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420</w:t>
            </w:r>
          </w:p>
        </w:tc>
        <w:tc>
          <w:tcPr>
            <w:tcW w:w="0" w:type="auto"/>
            <w:tcBorders>
              <w:bottom w:val="single" w:sz="8" w:space="0" w:color="333333"/>
            </w:tcBorders>
            <w:shd w:val="clear" w:color="auto" w:fill="auto"/>
            <w:vAlign w:val="bottom"/>
          </w:tcPr>
          <w:p w14:paraId="3750DEF9" w14:textId="77777777" w:rsidR="002541AD" w:rsidRDefault="002541AD">
            <w:pPr>
              <w:textAlignment w:val="bottom"/>
              <w:rPr>
                <w:rFonts w:ascii="Times New Roman" w:hAnsi="Times New Roman"/>
                <w:sz w:val="20"/>
                <w:szCs w:val="20"/>
              </w:rPr>
            </w:pPr>
          </w:p>
        </w:tc>
      </w:tr>
      <w:tr w:rsidR="002541AD" w14:paraId="3750DF02" w14:textId="77777777">
        <w:tc>
          <w:tcPr>
            <w:tcW w:w="0" w:type="auto"/>
            <w:shd w:val="clear" w:color="auto" w:fill="auto"/>
            <w:tcMar>
              <w:top w:w="40" w:type="dxa"/>
              <w:left w:w="40" w:type="dxa"/>
              <w:bottom w:w="40" w:type="dxa"/>
              <w:right w:w="40" w:type="dxa"/>
            </w:tcMar>
            <w:vAlign w:val="bottom"/>
          </w:tcPr>
          <w:p w14:paraId="3750DEF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EF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EFD"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6,993</w:t>
            </w:r>
          </w:p>
        </w:tc>
        <w:tc>
          <w:tcPr>
            <w:tcW w:w="0" w:type="auto"/>
            <w:shd w:val="clear" w:color="auto" w:fill="auto"/>
            <w:vAlign w:val="bottom"/>
          </w:tcPr>
          <w:p w14:paraId="3750DEF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EF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00"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4,902</w:t>
            </w:r>
          </w:p>
        </w:tc>
        <w:tc>
          <w:tcPr>
            <w:tcW w:w="0" w:type="auto"/>
            <w:shd w:val="clear" w:color="auto" w:fill="auto"/>
            <w:vAlign w:val="bottom"/>
          </w:tcPr>
          <w:p w14:paraId="3750DF01" w14:textId="77777777" w:rsidR="002541AD" w:rsidRDefault="002541AD">
            <w:pPr>
              <w:textAlignment w:val="bottom"/>
              <w:rPr>
                <w:rFonts w:ascii="Times New Roman" w:hAnsi="Times New Roman"/>
                <w:sz w:val="20"/>
                <w:szCs w:val="20"/>
              </w:rPr>
            </w:pPr>
          </w:p>
        </w:tc>
      </w:tr>
      <w:tr w:rsidR="002541AD" w14:paraId="3750DF08" w14:textId="77777777">
        <w:tc>
          <w:tcPr>
            <w:tcW w:w="0" w:type="auto"/>
            <w:shd w:val="clear" w:color="auto" w:fill="auto"/>
            <w:tcMar>
              <w:top w:w="40" w:type="dxa"/>
              <w:left w:w="240" w:type="dxa"/>
              <w:bottom w:w="40" w:type="dxa"/>
              <w:right w:w="40" w:type="dxa"/>
            </w:tcMar>
            <w:vAlign w:val="bottom"/>
          </w:tcPr>
          <w:p w14:paraId="3750DF03"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Internet of Things</w:t>
            </w:r>
          </w:p>
        </w:tc>
        <w:tc>
          <w:tcPr>
            <w:tcW w:w="0" w:type="auto"/>
            <w:shd w:val="clear" w:color="auto" w:fill="auto"/>
            <w:tcMar>
              <w:top w:w="40" w:type="dxa"/>
              <w:left w:w="40" w:type="dxa"/>
              <w:bottom w:w="40" w:type="dxa"/>
              <w:right w:w="40" w:type="dxa"/>
            </w:tcMar>
            <w:vAlign w:val="bottom"/>
          </w:tcPr>
          <w:p w14:paraId="3750DF0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F0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F0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F0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F10" w14:textId="77777777">
        <w:tc>
          <w:tcPr>
            <w:tcW w:w="0" w:type="auto"/>
            <w:shd w:val="clear" w:color="auto" w:fill="auto"/>
            <w:tcMar>
              <w:top w:w="40" w:type="dxa"/>
              <w:left w:w="400" w:type="dxa"/>
              <w:bottom w:w="40" w:type="dxa"/>
              <w:right w:w="40" w:type="dxa"/>
            </w:tcMar>
            <w:vAlign w:val="bottom"/>
          </w:tcPr>
          <w:p w14:paraId="3750DF09" w14:textId="77777777" w:rsidR="002541AD" w:rsidRDefault="00901AA6">
            <w:pPr>
              <w:ind w:hanging="240"/>
              <w:textAlignment w:val="bottom"/>
              <w:rPr>
                <w:rFonts w:ascii="Times New Roman" w:hAnsi="Times New Roman"/>
                <w:sz w:val="18"/>
                <w:szCs w:val="18"/>
              </w:rPr>
            </w:pPr>
            <w:r>
              <w:rPr>
                <w:rFonts w:ascii="Arial" w:eastAsia="宋体" w:hAnsi="Arial" w:cs="Arial"/>
                <w:color w:val="333333"/>
                <w:sz w:val="18"/>
                <w:szCs w:val="18"/>
              </w:rPr>
              <w:t>IOTG</w:t>
            </w:r>
          </w:p>
        </w:tc>
        <w:tc>
          <w:tcPr>
            <w:tcW w:w="0" w:type="auto"/>
            <w:shd w:val="clear" w:color="auto" w:fill="auto"/>
            <w:tcMar>
              <w:top w:w="40" w:type="dxa"/>
              <w:left w:w="40" w:type="dxa"/>
              <w:bottom w:w="40" w:type="dxa"/>
              <w:right w:w="40" w:type="dxa"/>
            </w:tcMar>
            <w:vAlign w:val="bottom"/>
          </w:tcPr>
          <w:p w14:paraId="3750DF0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0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883</w:t>
            </w:r>
          </w:p>
        </w:tc>
        <w:tc>
          <w:tcPr>
            <w:tcW w:w="0" w:type="auto"/>
            <w:shd w:val="clear" w:color="auto" w:fill="auto"/>
            <w:vAlign w:val="bottom"/>
          </w:tcPr>
          <w:p w14:paraId="3750DF0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F0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0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910</w:t>
            </w:r>
          </w:p>
        </w:tc>
        <w:tc>
          <w:tcPr>
            <w:tcW w:w="0" w:type="auto"/>
            <w:shd w:val="clear" w:color="auto" w:fill="auto"/>
            <w:vAlign w:val="bottom"/>
          </w:tcPr>
          <w:p w14:paraId="3750DF0F" w14:textId="77777777" w:rsidR="002541AD" w:rsidRDefault="002541AD">
            <w:pPr>
              <w:textAlignment w:val="bottom"/>
              <w:rPr>
                <w:rFonts w:ascii="Times New Roman" w:hAnsi="Times New Roman"/>
                <w:sz w:val="20"/>
                <w:szCs w:val="20"/>
              </w:rPr>
            </w:pPr>
          </w:p>
        </w:tc>
      </w:tr>
      <w:tr w:rsidR="002541AD" w14:paraId="3750DF18" w14:textId="77777777">
        <w:tc>
          <w:tcPr>
            <w:tcW w:w="0" w:type="auto"/>
            <w:shd w:val="clear" w:color="auto" w:fill="auto"/>
            <w:tcMar>
              <w:top w:w="40" w:type="dxa"/>
              <w:left w:w="400" w:type="dxa"/>
              <w:bottom w:w="40" w:type="dxa"/>
              <w:right w:w="40" w:type="dxa"/>
            </w:tcMar>
            <w:vAlign w:val="bottom"/>
          </w:tcPr>
          <w:p w14:paraId="3750DF11" w14:textId="77777777" w:rsidR="002541AD" w:rsidRDefault="00901AA6">
            <w:pPr>
              <w:ind w:hanging="240"/>
              <w:textAlignment w:val="bottom"/>
              <w:rPr>
                <w:rFonts w:ascii="Times New Roman" w:hAnsi="Times New Roman"/>
                <w:sz w:val="18"/>
                <w:szCs w:val="18"/>
              </w:rPr>
            </w:pPr>
            <w:r>
              <w:rPr>
                <w:rFonts w:ascii="Arial" w:eastAsia="宋体" w:hAnsi="Arial" w:cs="Arial"/>
                <w:color w:val="333333"/>
                <w:sz w:val="18"/>
                <w:szCs w:val="18"/>
              </w:rPr>
              <w:t>Mobileye</w:t>
            </w:r>
          </w:p>
        </w:tc>
        <w:tc>
          <w:tcPr>
            <w:tcW w:w="0" w:type="auto"/>
            <w:shd w:val="clear" w:color="auto" w:fill="auto"/>
            <w:tcMar>
              <w:top w:w="40" w:type="dxa"/>
              <w:left w:w="40" w:type="dxa"/>
              <w:bottom w:w="40" w:type="dxa"/>
              <w:right w:w="40" w:type="dxa"/>
            </w:tcMar>
            <w:vAlign w:val="bottom"/>
          </w:tcPr>
          <w:p w14:paraId="3750DF1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DF1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254</w:t>
            </w:r>
          </w:p>
        </w:tc>
        <w:tc>
          <w:tcPr>
            <w:tcW w:w="0" w:type="auto"/>
            <w:tcBorders>
              <w:bottom w:val="single" w:sz="8" w:space="0" w:color="333333"/>
            </w:tcBorders>
            <w:shd w:val="clear" w:color="auto" w:fill="auto"/>
            <w:vAlign w:val="bottom"/>
          </w:tcPr>
          <w:p w14:paraId="3750DF1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F1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DF1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209</w:t>
            </w:r>
          </w:p>
        </w:tc>
        <w:tc>
          <w:tcPr>
            <w:tcW w:w="0" w:type="auto"/>
            <w:tcBorders>
              <w:bottom w:val="single" w:sz="8" w:space="0" w:color="333333"/>
            </w:tcBorders>
            <w:shd w:val="clear" w:color="auto" w:fill="auto"/>
            <w:vAlign w:val="bottom"/>
          </w:tcPr>
          <w:p w14:paraId="3750DF17" w14:textId="77777777" w:rsidR="002541AD" w:rsidRDefault="002541AD">
            <w:pPr>
              <w:textAlignment w:val="bottom"/>
              <w:rPr>
                <w:rFonts w:ascii="Times New Roman" w:hAnsi="Times New Roman"/>
                <w:sz w:val="20"/>
                <w:szCs w:val="20"/>
              </w:rPr>
            </w:pPr>
          </w:p>
        </w:tc>
      </w:tr>
      <w:tr w:rsidR="002541AD" w14:paraId="3750DF20" w14:textId="77777777">
        <w:tc>
          <w:tcPr>
            <w:tcW w:w="0" w:type="auto"/>
            <w:shd w:val="clear" w:color="auto" w:fill="auto"/>
            <w:tcMar>
              <w:top w:w="40" w:type="dxa"/>
              <w:left w:w="40" w:type="dxa"/>
              <w:bottom w:w="40" w:type="dxa"/>
              <w:right w:w="40" w:type="dxa"/>
            </w:tcMar>
            <w:vAlign w:val="bottom"/>
          </w:tcPr>
          <w:p w14:paraId="3750DF1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F1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3750DF1B"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1,137</w:t>
            </w:r>
          </w:p>
        </w:tc>
        <w:tc>
          <w:tcPr>
            <w:tcW w:w="0" w:type="auto"/>
            <w:tcBorders>
              <w:top w:val="single" w:sz="8" w:space="0" w:color="333333"/>
            </w:tcBorders>
            <w:shd w:val="clear" w:color="auto" w:fill="auto"/>
            <w:vAlign w:val="bottom"/>
          </w:tcPr>
          <w:p w14:paraId="3750DF1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F1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3750DF1E"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1,119</w:t>
            </w:r>
          </w:p>
        </w:tc>
        <w:tc>
          <w:tcPr>
            <w:tcW w:w="0" w:type="auto"/>
            <w:tcBorders>
              <w:top w:val="single" w:sz="8" w:space="0" w:color="333333"/>
            </w:tcBorders>
            <w:shd w:val="clear" w:color="auto" w:fill="auto"/>
            <w:vAlign w:val="bottom"/>
          </w:tcPr>
          <w:p w14:paraId="3750DF1F" w14:textId="77777777" w:rsidR="002541AD" w:rsidRDefault="002541AD">
            <w:pPr>
              <w:textAlignment w:val="bottom"/>
              <w:rPr>
                <w:rFonts w:ascii="Times New Roman" w:hAnsi="Times New Roman"/>
                <w:sz w:val="20"/>
                <w:szCs w:val="20"/>
              </w:rPr>
            </w:pPr>
          </w:p>
        </w:tc>
      </w:tr>
      <w:tr w:rsidR="002541AD" w14:paraId="3750DF26" w14:textId="77777777">
        <w:tc>
          <w:tcPr>
            <w:tcW w:w="0" w:type="auto"/>
            <w:shd w:val="clear" w:color="auto" w:fill="auto"/>
            <w:tcMar>
              <w:top w:w="40" w:type="dxa"/>
              <w:left w:w="40" w:type="dxa"/>
              <w:bottom w:w="40" w:type="dxa"/>
              <w:right w:w="40" w:type="dxa"/>
            </w:tcMar>
            <w:vAlign w:val="bottom"/>
          </w:tcPr>
          <w:p w14:paraId="3750DF2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F2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F2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F2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F2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F2E" w14:textId="77777777">
        <w:tc>
          <w:tcPr>
            <w:tcW w:w="0" w:type="auto"/>
            <w:shd w:val="clear" w:color="auto" w:fill="auto"/>
            <w:tcMar>
              <w:top w:w="40" w:type="dxa"/>
              <w:left w:w="240" w:type="dxa"/>
              <w:bottom w:w="40" w:type="dxa"/>
              <w:right w:w="40" w:type="dxa"/>
            </w:tcMar>
            <w:vAlign w:val="bottom"/>
          </w:tcPr>
          <w:p w14:paraId="3750DF27"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Non-Volatile Memory Solutions Group</w:t>
            </w:r>
          </w:p>
        </w:tc>
        <w:tc>
          <w:tcPr>
            <w:tcW w:w="0" w:type="auto"/>
            <w:shd w:val="clear" w:color="auto" w:fill="auto"/>
            <w:tcMar>
              <w:top w:w="40" w:type="dxa"/>
              <w:left w:w="40" w:type="dxa"/>
              <w:bottom w:w="40" w:type="dxa"/>
              <w:right w:w="40" w:type="dxa"/>
            </w:tcMar>
            <w:vAlign w:val="bottom"/>
          </w:tcPr>
          <w:p w14:paraId="3750DF2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29"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1,338</w:t>
            </w:r>
          </w:p>
        </w:tc>
        <w:tc>
          <w:tcPr>
            <w:tcW w:w="0" w:type="auto"/>
            <w:shd w:val="clear" w:color="auto" w:fill="auto"/>
            <w:vAlign w:val="bottom"/>
          </w:tcPr>
          <w:p w14:paraId="3750DF2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F2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2C"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915</w:t>
            </w:r>
          </w:p>
        </w:tc>
        <w:tc>
          <w:tcPr>
            <w:tcW w:w="0" w:type="auto"/>
            <w:shd w:val="clear" w:color="auto" w:fill="auto"/>
            <w:vAlign w:val="bottom"/>
          </w:tcPr>
          <w:p w14:paraId="3750DF2D" w14:textId="77777777" w:rsidR="002541AD" w:rsidRDefault="002541AD">
            <w:pPr>
              <w:textAlignment w:val="bottom"/>
              <w:rPr>
                <w:rFonts w:ascii="Times New Roman" w:hAnsi="Times New Roman"/>
                <w:sz w:val="20"/>
                <w:szCs w:val="20"/>
              </w:rPr>
            </w:pPr>
          </w:p>
        </w:tc>
      </w:tr>
      <w:tr w:rsidR="002541AD" w14:paraId="3750DF36" w14:textId="77777777">
        <w:tc>
          <w:tcPr>
            <w:tcW w:w="0" w:type="auto"/>
            <w:shd w:val="clear" w:color="auto" w:fill="auto"/>
            <w:tcMar>
              <w:top w:w="40" w:type="dxa"/>
              <w:left w:w="240" w:type="dxa"/>
              <w:bottom w:w="40" w:type="dxa"/>
              <w:right w:w="40" w:type="dxa"/>
            </w:tcMar>
            <w:vAlign w:val="bottom"/>
          </w:tcPr>
          <w:p w14:paraId="3750DF2F"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Programmable Solutions Group</w:t>
            </w:r>
          </w:p>
        </w:tc>
        <w:tc>
          <w:tcPr>
            <w:tcW w:w="0" w:type="auto"/>
            <w:shd w:val="clear" w:color="auto" w:fill="auto"/>
            <w:tcMar>
              <w:top w:w="40" w:type="dxa"/>
              <w:left w:w="40" w:type="dxa"/>
              <w:bottom w:w="40" w:type="dxa"/>
              <w:right w:w="40" w:type="dxa"/>
            </w:tcMar>
            <w:vAlign w:val="bottom"/>
          </w:tcPr>
          <w:p w14:paraId="3750DF3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31"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519</w:t>
            </w:r>
          </w:p>
        </w:tc>
        <w:tc>
          <w:tcPr>
            <w:tcW w:w="0" w:type="auto"/>
            <w:shd w:val="clear" w:color="auto" w:fill="auto"/>
            <w:vAlign w:val="bottom"/>
          </w:tcPr>
          <w:p w14:paraId="3750DF3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F3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34"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486</w:t>
            </w:r>
          </w:p>
        </w:tc>
        <w:tc>
          <w:tcPr>
            <w:tcW w:w="0" w:type="auto"/>
            <w:shd w:val="clear" w:color="auto" w:fill="auto"/>
            <w:vAlign w:val="bottom"/>
          </w:tcPr>
          <w:p w14:paraId="3750DF35" w14:textId="77777777" w:rsidR="002541AD" w:rsidRDefault="002541AD">
            <w:pPr>
              <w:textAlignment w:val="bottom"/>
              <w:rPr>
                <w:rFonts w:ascii="Times New Roman" w:hAnsi="Times New Roman"/>
                <w:sz w:val="20"/>
                <w:szCs w:val="20"/>
              </w:rPr>
            </w:pPr>
          </w:p>
        </w:tc>
      </w:tr>
      <w:tr w:rsidR="002541AD" w14:paraId="3750DF3C" w14:textId="77777777">
        <w:tc>
          <w:tcPr>
            <w:tcW w:w="0" w:type="auto"/>
            <w:shd w:val="clear" w:color="auto" w:fill="auto"/>
            <w:tcMar>
              <w:top w:w="40" w:type="dxa"/>
              <w:left w:w="240" w:type="dxa"/>
              <w:bottom w:w="40" w:type="dxa"/>
              <w:right w:w="40" w:type="dxa"/>
            </w:tcMar>
            <w:vAlign w:val="bottom"/>
          </w:tcPr>
          <w:p w14:paraId="3750DF37"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Client Computing Group</w:t>
            </w:r>
          </w:p>
        </w:tc>
        <w:tc>
          <w:tcPr>
            <w:tcW w:w="0" w:type="auto"/>
            <w:shd w:val="clear" w:color="auto" w:fill="auto"/>
            <w:tcMar>
              <w:top w:w="40" w:type="dxa"/>
              <w:left w:w="40" w:type="dxa"/>
              <w:bottom w:w="40" w:type="dxa"/>
              <w:right w:w="40" w:type="dxa"/>
            </w:tcMar>
            <w:vAlign w:val="bottom"/>
          </w:tcPr>
          <w:p w14:paraId="3750DF3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F3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F3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F3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F44" w14:textId="77777777">
        <w:tc>
          <w:tcPr>
            <w:tcW w:w="0" w:type="auto"/>
            <w:shd w:val="clear" w:color="auto" w:fill="auto"/>
            <w:tcMar>
              <w:top w:w="40" w:type="dxa"/>
              <w:left w:w="400" w:type="dxa"/>
              <w:bottom w:w="40" w:type="dxa"/>
              <w:right w:w="40" w:type="dxa"/>
            </w:tcMar>
            <w:vAlign w:val="bottom"/>
          </w:tcPr>
          <w:p w14:paraId="3750DF3D" w14:textId="77777777" w:rsidR="002541AD" w:rsidRDefault="00901AA6">
            <w:pPr>
              <w:ind w:hanging="240"/>
              <w:textAlignment w:val="bottom"/>
              <w:rPr>
                <w:rFonts w:ascii="Times New Roman" w:hAnsi="Times New Roman"/>
                <w:sz w:val="18"/>
                <w:szCs w:val="18"/>
              </w:rPr>
            </w:pPr>
            <w:r>
              <w:rPr>
                <w:rFonts w:ascii="Arial" w:eastAsia="宋体" w:hAnsi="Arial" w:cs="Arial"/>
                <w:color w:val="333333"/>
                <w:sz w:val="18"/>
                <w:szCs w:val="18"/>
              </w:rPr>
              <w:t>Platform</w:t>
            </w:r>
          </w:p>
        </w:tc>
        <w:tc>
          <w:tcPr>
            <w:tcW w:w="0" w:type="auto"/>
            <w:shd w:val="clear" w:color="auto" w:fill="auto"/>
            <w:tcMar>
              <w:top w:w="40" w:type="dxa"/>
              <w:left w:w="40" w:type="dxa"/>
              <w:bottom w:w="40" w:type="dxa"/>
              <w:right w:w="40" w:type="dxa"/>
            </w:tcMar>
            <w:vAlign w:val="bottom"/>
          </w:tcPr>
          <w:p w14:paraId="3750DF3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3F"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8,712</w:t>
            </w:r>
          </w:p>
        </w:tc>
        <w:tc>
          <w:tcPr>
            <w:tcW w:w="0" w:type="auto"/>
            <w:shd w:val="clear" w:color="auto" w:fill="auto"/>
            <w:vAlign w:val="bottom"/>
          </w:tcPr>
          <w:p w14:paraId="3750DF4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F4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4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7,824</w:t>
            </w:r>
          </w:p>
        </w:tc>
        <w:tc>
          <w:tcPr>
            <w:tcW w:w="0" w:type="auto"/>
            <w:shd w:val="clear" w:color="auto" w:fill="auto"/>
            <w:vAlign w:val="bottom"/>
          </w:tcPr>
          <w:p w14:paraId="3750DF43" w14:textId="77777777" w:rsidR="002541AD" w:rsidRDefault="002541AD">
            <w:pPr>
              <w:textAlignment w:val="bottom"/>
              <w:rPr>
                <w:rFonts w:ascii="Times New Roman" w:hAnsi="Times New Roman"/>
                <w:sz w:val="20"/>
                <w:szCs w:val="20"/>
              </w:rPr>
            </w:pPr>
          </w:p>
        </w:tc>
      </w:tr>
      <w:tr w:rsidR="002541AD" w14:paraId="3750DF4C" w14:textId="77777777">
        <w:tc>
          <w:tcPr>
            <w:tcW w:w="0" w:type="auto"/>
            <w:shd w:val="clear" w:color="auto" w:fill="auto"/>
            <w:tcMar>
              <w:top w:w="40" w:type="dxa"/>
              <w:left w:w="400" w:type="dxa"/>
              <w:bottom w:w="40" w:type="dxa"/>
              <w:right w:w="40" w:type="dxa"/>
            </w:tcMar>
            <w:vAlign w:val="bottom"/>
          </w:tcPr>
          <w:p w14:paraId="3750DF45" w14:textId="77777777" w:rsidR="002541AD" w:rsidRDefault="00901AA6">
            <w:pPr>
              <w:ind w:hanging="240"/>
              <w:textAlignment w:val="bottom"/>
              <w:rPr>
                <w:rFonts w:ascii="Times New Roman" w:hAnsi="Times New Roman"/>
                <w:sz w:val="18"/>
                <w:szCs w:val="18"/>
              </w:rPr>
            </w:pPr>
            <w:r>
              <w:rPr>
                <w:rFonts w:ascii="Arial" w:eastAsia="宋体" w:hAnsi="Arial" w:cs="Arial"/>
                <w:color w:val="333333"/>
                <w:sz w:val="18"/>
                <w:szCs w:val="18"/>
              </w:rPr>
              <w:t>Adjacent</w:t>
            </w:r>
          </w:p>
        </w:tc>
        <w:tc>
          <w:tcPr>
            <w:tcW w:w="0" w:type="auto"/>
            <w:shd w:val="clear" w:color="auto" w:fill="auto"/>
            <w:tcMar>
              <w:top w:w="40" w:type="dxa"/>
              <w:left w:w="40" w:type="dxa"/>
              <w:bottom w:w="40" w:type="dxa"/>
              <w:right w:w="40" w:type="dxa"/>
            </w:tcMar>
            <w:vAlign w:val="bottom"/>
          </w:tcPr>
          <w:p w14:paraId="3750DF4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4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1,063</w:t>
            </w:r>
          </w:p>
        </w:tc>
        <w:tc>
          <w:tcPr>
            <w:tcW w:w="0" w:type="auto"/>
            <w:shd w:val="clear" w:color="auto" w:fill="auto"/>
            <w:vAlign w:val="bottom"/>
          </w:tcPr>
          <w:p w14:paraId="3750DF4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F4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4A"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762</w:t>
            </w:r>
          </w:p>
        </w:tc>
        <w:tc>
          <w:tcPr>
            <w:tcW w:w="0" w:type="auto"/>
            <w:shd w:val="clear" w:color="auto" w:fill="auto"/>
            <w:vAlign w:val="bottom"/>
          </w:tcPr>
          <w:p w14:paraId="3750DF4B" w14:textId="77777777" w:rsidR="002541AD" w:rsidRDefault="002541AD">
            <w:pPr>
              <w:textAlignment w:val="bottom"/>
              <w:rPr>
                <w:rFonts w:ascii="Times New Roman" w:hAnsi="Times New Roman"/>
                <w:sz w:val="20"/>
                <w:szCs w:val="20"/>
              </w:rPr>
            </w:pPr>
          </w:p>
        </w:tc>
      </w:tr>
      <w:tr w:rsidR="002541AD" w14:paraId="3750DF54" w14:textId="77777777">
        <w:tc>
          <w:tcPr>
            <w:tcW w:w="0" w:type="auto"/>
            <w:shd w:val="clear" w:color="auto" w:fill="auto"/>
            <w:tcMar>
              <w:top w:w="40" w:type="dxa"/>
              <w:left w:w="40" w:type="dxa"/>
              <w:bottom w:w="40" w:type="dxa"/>
              <w:right w:w="40" w:type="dxa"/>
            </w:tcMar>
            <w:vAlign w:val="bottom"/>
          </w:tcPr>
          <w:p w14:paraId="3750DF4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F4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3750DF4F"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9,775</w:t>
            </w:r>
          </w:p>
        </w:tc>
        <w:tc>
          <w:tcPr>
            <w:tcW w:w="0" w:type="auto"/>
            <w:tcBorders>
              <w:top w:val="single" w:sz="8" w:space="0" w:color="333333"/>
            </w:tcBorders>
            <w:shd w:val="clear" w:color="auto" w:fill="auto"/>
            <w:vAlign w:val="bottom"/>
          </w:tcPr>
          <w:p w14:paraId="3750DF5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F5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3750DF52"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8,586</w:t>
            </w:r>
          </w:p>
        </w:tc>
        <w:tc>
          <w:tcPr>
            <w:tcW w:w="0" w:type="auto"/>
            <w:tcBorders>
              <w:top w:val="single" w:sz="8" w:space="0" w:color="333333"/>
            </w:tcBorders>
            <w:shd w:val="clear" w:color="auto" w:fill="auto"/>
            <w:vAlign w:val="bottom"/>
          </w:tcPr>
          <w:p w14:paraId="3750DF53" w14:textId="77777777" w:rsidR="002541AD" w:rsidRDefault="002541AD">
            <w:pPr>
              <w:textAlignment w:val="bottom"/>
              <w:rPr>
                <w:rFonts w:ascii="Times New Roman" w:hAnsi="Times New Roman"/>
                <w:sz w:val="20"/>
                <w:szCs w:val="20"/>
              </w:rPr>
            </w:pPr>
          </w:p>
        </w:tc>
      </w:tr>
      <w:tr w:rsidR="002541AD" w14:paraId="3750DF5A" w14:textId="77777777">
        <w:tc>
          <w:tcPr>
            <w:tcW w:w="0" w:type="auto"/>
            <w:shd w:val="clear" w:color="auto" w:fill="auto"/>
            <w:tcMar>
              <w:top w:w="40" w:type="dxa"/>
              <w:left w:w="40" w:type="dxa"/>
              <w:bottom w:w="40" w:type="dxa"/>
              <w:right w:w="40" w:type="dxa"/>
            </w:tcMar>
            <w:vAlign w:val="bottom"/>
          </w:tcPr>
          <w:p w14:paraId="3750DF5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F5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F5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F5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F5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F62" w14:textId="77777777">
        <w:tc>
          <w:tcPr>
            <w:tcW w:w="0" w:type="auto"/>
            <w:shd w:val="clear" w:color="auto" w:fill="auto"/>
            <w:tcMar>
              <w:top w:w="40" w:type="dxa"/>
              <w:left w:w="240" w:type="dxa"/>
              <w:bottom w:w="40" w:type="dxa"/>
              <w:right w:w="40" w:type="dxa"/>
            </w:tcMar>
            <w:vAlign w:val="bottom"/>
          </w:tcPr>
          <w:p w14:paraId="3750DF5B"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All other</w:t>
            </w:r>
          </w:p>
        </w:tc>
        <w:tc>
          <w:tcPr>
            <w:tcW w:w="0" w:type="auto"/>
            <w:shd w:val="clear" w:color="auto" w:fill="auto"/>
            <w:tcMar>
              <w:top w:w="40" w:type="dxa"/>
              <w:left w:w="40" w:type="dxa"/>
              <w:bottom w:w="40" w:type="dxa"/>
              <w:right w:w="40" w:type="dxa"/>
            </w:tcMar>
            <w:vAlign w:val="bottom"/>
          </w:tcPr>
          <w:p w14:paraId="3750DF5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5D"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66</w:t>
            </w:r>
          </w:p>
        </w:tc>
        <w:tc>
          <w:tcPr>
            <w:tcW w:w="0" w:type="auto"/>
            <w:shd w:val="clear" w:color="auto" w:fill="auto"/>
            <w:vAlign w:val="bottom"/>
          </w:tcPr>
          <w:p w14:paraId="3750DF5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F5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60"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53</w:t>
            </w:r>
          </w:p>
        </w:tc>
        <w:tc>
          <w:tcPr>
            <w:tcW w:w="0" w:type="auto"/>
            <w:shd w:val="clear" w:color="auto" w:fill="auto"/>
            <w:vAlign w:val="bottom"/>
          </w:tcPr>
          <w:p w14:paraId="3750DF61" w14:textId="77777777" w:rsidR="002541AD" w:rsidRDefault="002541AD">
            <w:pPr>
              <w:textAlignment w:val="bottom"/>
              <w:rPr>
                <w:rFonts w:ascii="Times New Roman" w:hAnsi="Times New Roman"/>
                <w:sz w:val="20"/>
                <w:szCs w:val="20"/>
              </w:rPr>
            </w:pPr>
          </w:p>
        </w:tc>
      </w:tr>
      <w:tr w:rsidR="002541AD" w14:paraId="3750DF6C" w14:textId="77777777">
        <w:tc>
          <w:tcPr>
            <w:tcW w:w="0" w:type="auto"/>
            <w:shd w:val="clear" w:color="auto" w:fill="auto"/>
            <w:tcMar>
              <w:top w:w="40" w:type="dxa"/>
              <w:left w:w="40" w:type="dxa"/>
              <w:bottom w:w="40" w:type="dxa"/>
              <w:right w:w="40" w:type="dxa"/>
            </w:tcMar>
            <w:vAlign w:val="bottom"/>
          </w:tcPr>
          <w:p w14:paraId="3750DF63"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Total net revenue</w:t>
            </w:r>
          </w:p>
        </w:tc>
        <w:tc>
          <w:tcPr>
            <w:tcW w:w="0" w:type="auto"/>
            <w:shd w:val="clear" w:color="auto" w:fill="auto"/>
            <w:tcMar>
              <w:top w:w="40" w:type="dxa"/>
              <w:left w:w="40" w:type="dxa"/>
              <w:bottom w:w="40" w:type="dxa"/>
              <w:right w:w="40" w:type="dxa"/>
            </w:tcMar>
            <w:vAlign w:val="bottom"/>
          </w:tcPr>
          <w:p w14:paraId="3750DF6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DF65"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DF66"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19,828</w:t>
            </w:r>
          </w:p>
        </w:tc>
        <w:tc>
          <w:tcPr>
            <w:tcW w:w="0" w:type="auto"/>
            <w:tcBorders>
              <w:top w:val="single" w:sz="8" w:space="0" w:color="333333"/>
              <w:bottom w:val="double" w:sz="6" w:space="0" w:color="333333"/>
            </w:tcBorders>
            <w:shd w:val="clear" w:color="auto" w:fill="auto"/>
            <w:vAlign w:val="bottom"/>
          </w:tcPr>
          <w:p w14:paraId="3750DF6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F6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DF69"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DF6A"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16,061</w:t>
            </w:r>
          </w:p>
        </w:tc>
        <w:tc>
          <w:tcPr>
            <w:tcW w:w="0" w:type="auto"/>
            <w:tcBorders>
              <w:top w:val="single" w:sz="8" w:space="0" w:color="333333"/>
              <w:bottom w:val="double" w:sz="6" w:space="0" w:color="333333"/>
            </w:tcBorders>
            <w:shd w:val="clear" w:color="auto" w:fill="auto"/>
            <w:vAlign w:val="bottom"/>
          </w:tcPr>
          <w:p w14:paraId="3750DF6B" w14:textId="77777777" w:rsidR="002541AD" w:rsidRDefault="002541AD">
            <w:pPr>
              <w:textAlignment w:val="bottom"/>
              <w:rPr>
                <w:rFonts w:ascii="Times New Roman" w:hAnsi="Times New Roman"/>
                <w:sz w:val="20"/>
                <w:szCs w:val="20"/>
              </w:rPr>
            </w:pPr>
          </w:p>
        </w:tc>
      </w:tr>
      <w:tr w:rsidR="002541AD" w14:paraId="3750DF72" w14:textId="77777777">
        <w:tc>
          <w:tcPr>
            <w:tcW w:w="0" w:type="auto"/>
            <w:shd w:val="clear" w:color="auto" w:fill="auto"/>
            <w:tcMar>
              <w:top w:w="40" w:type="dxa"/>
              <w:left w:w="40" w:type="dxa"/>
              <w:bottom w:w="40" w:type="dxa"/>
              <w:right w:w="40" w:type="dxa"/>
            </w:tcMar>
            <w:vAlign w:val="bottom"/>
          </w:tcPr>
          <w:p w14:paraId="3750DF6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F6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F6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F7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F7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F78" w14:textId="77777777">
        <w:tc>
          <w:tcPr>
            <w:tcW w:w="0" w:type="auto"/>
            <w:shd w:val="clear" w:color="auto" w:fill="auto"/>
            <w:tcMar>
              <w:top w:w="40" w:type="dxa"/>
              <w:left w:w="40" w:type="dxa"/>
              <w:bottom w:w="40" w:type="dxa"/>
              <w:right w:w="40" w:type="dxa"/>
            </w:tcMar>
            <w:vAlign w:val="bottom"/>
          </w:tcPr>
          <w:p w14:paraId="3750DF73"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Operating income (loss):</w:t>
            </w:r>
          </w:p>
        </w:tc>
        <w:tc>
          <w:tcPr>
            <w:tcW w:w="0" w:type="auto"/>
            <w:shd w:val="clear" w:color="auto" w:fill="auto"/>
            <w:tcMar>
              <w:top w:w="40" w:type="dxa"/>
              <w:left w:w="40" w:type="dxa"/>
              <w:bottom w:w="40" w:type="dxa"/>
              <w:right w:w="40" w:type="dxa"/>
            </w:tcMar>
            <w:vAlign w:val="bottom"/>
          </w:tcPr>
          <w:p w14:paraId="3750DF7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F7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F7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F7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F82" w14:textId="77777777">
        <w:tc>
          <w:tcPr>
            <w:tcW w:w="0" w:type="auto"/>
            <w:shd w:val="clear" w:color="auto" w:fill="auto"/>
            <w:tcMar>
              <w:top w:w="40" w:type="dxa"/>
              <w:left w:w="240" w:type="dxa"/>
              <w:bottom w:w="40" w:type="dxa"/>
              <w:right w:w="40" w:type="dxa"/>
            </w:tcMar>
            <w:vAlign w:val="bottom"/>
          </w:tcPr>
          <w:p w14:paraId="3750DF79"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Data Center Group</w:t>
            </w:r>
          </w:p>
        </w:tc>
        <w:tc>
          <w:tcPr>
            <w:tcW w:w="0" w:type="auto"/>
            <w:shd w:val="clear" w:color="auto" w:fill="auto"/>
            <w:tcMar>
              <w:top w:w="40" w:type="dxa"/>
              <w:left w:w="40" w:type="dxa"/>
              <w:bottom w:w="40" w:type="dxa"/>
              <w:right w:w="40" w:type="dxa"/>
            </w:tcMar>
            <w:vAlign w:val="bottom"/>
          </w:tcPr>
          <w:p w14:paraId="3750DF7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F7B"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3750DF7C"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3,492</w:t>
            </w:r>
          </w:p>
        </w:tc>
        <w:tc>
          <w:tcPr>
            <w:tcW w:w="0" w:type="auto"/>
            <w:shd w:val="clear" w:color="auto" w:fill="auto"/>
            <w:vAlign w:val="bottom"/>
          </w:tcPr>
          <w:p w14:paraId="3750DF7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F7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DF7F"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3750DF80"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1,841</w:t>
            </w:r>
          </w:p>
        </w:tc>
        <w:tc>
          <w:tcPr>
            <w:tcW w:w="0" w:type="auto"/>
            <w:shd w:val="clear" w:color="auto" w:fill="auto"/>
            <w:vAlign w:val="bottom"/>
          </w:tcPr>
          <w:p w14:paraId="3750DF81" w14:textId="77777777" w:rsidR="002541AD" w:rsidRDefault="002541AD">
            <w:pPr>
              <w:textAlignment w:val="bottom"/>
              <w:rPr>
                <w:rFonts w:ascii="Times New Roman" w:hAnsi="Times New Roman"/>
                <w:sz w:val="20"/>
                <w:szCs w:val="20"/>
              </w:rPr>
            </w:pPr>
          </w:p>
        </w:tc>
      </w:tr>
      <w:tr w:rsidR="002541AD" w14:paraId="3750DF88" w14:textId="77777777">
        <w:tc>
          <w:tcPr>
            <w:tcW w:w="0" w:type="auto"/>
            <w:shd w:val="clear" w:color="auto" w:fill="auto"/>
            <w:tcMar>
              <w:top w:w="40" w:type="dxa"/>
              <w:left w:w="40" w:type="dxa"/>
              <w:bottom w:w="40" w:type="dxa"/>
              <w:right w:w="40" w:type="dxa"/>
            </w:tcMar>
            <w:vAlign w:val="bottom"/>
          </w:tcPr>
          <w:p w14:paraId="3750DF8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F8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F8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F8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F8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F8E" w14:textId="77777777">
        <w:tc>
          <w:tcPr>
            <w:tcW w:w="0" w:type="auto"/>
            <w:shd w:val="clear" w:color="auto" w:fill="auto"/>
            <w:tcMar>
              <w:top w:w="40" w:type="dxa"/>
              <w:left w:w="240" w:type="dxa"/>
              <w:bottom w:w="40" w:type="dxa"/>
              <w:right w:w="40" w:type="dxa"/>
            </w:tcMar>
            <w:vAlign w:val="bottom"/>
          </w:tcPr>
          <w:p w14:paraId="3750DF89"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 xml:space="preserve">Internet of Things </w:t>
            </w:r>
          </w:p>
        </w:tc>
        <w:tc>
          <w:tcPr>
            <w:tcW w:w="0" w:type="auto"/>
            <w:shd w:val="clear" w:color="auto" w:fill="auto"/>
            <w:tcMar>
              <w:top w:w="40" w:type="dxa"/>
              <w:left w:w="40" w:type="dxa"/>
              <w:bottom w:w="40" w:type="dxa"/>
              <w:right w:w="40" w:type="dxa"/>
            </w:tcMar>
            <w:vAlign w:val="bottom"/>
          </w:tcPr>
          <w:p w14:paraId="3750DF8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F8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F8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F8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F96" w14:textId="77777777">
        <w:tc>
          <w:tcPr>
            <w:tcW w:w="0" w:type="auto"/>
            <w:shd w:val="clear" w:color="auto" w:fill="auto"/>
            <w:tcMar>
              <w:top w:w="40" w:type="dxa"/>
              <w:left w:w="400" w:type="dxa"/>
              <w:bottom w:w="40" w:type="dxa"/>
              <w:right w:w="40" w:type="dxa"/>
            </w:tcMar>
            <w:vAlign w:val="bottom"/>
          </w:tcPr>
          <w:p w14:paraId="3750DF8F" w14:textId="77777777" w:rsidR="002541AD" w:rsidRDefault="00901AA6">
            <w:pPr>
              <w:ind w:hanging="240"/>
              <w:textAlignment w:val="bottom"/>
              <w:rPr>
                <w:rFonts w:ascii="Times New Roman" w:hAnsi="Times New Roman"/>
                <w:sz w:val="18"/>
                <w:szCs w:val="18"/>
              </w:rPr>
            </w:pPr>
            <w:r>
              <w:rPr>
                <w:rFonts w:ascii="Arial" w:eastAsia="宋体" w:hAnsi="Arial" w:cs="Arial"/>
                <w:color w:val="333333"/>
                <w:sz w:val="18"/>
                <w:szCs w:val="18"/>
              </w:rPr>
              <w:t>IOTG</w:t>
            </w:r>
          </w:p>
        </w:tc>
        <w:tc>
          <w:tcPr>
            <w:tcW w:w="0" w:type="auto"/>
            <w:shd w:val="clear" w:color="auto" w:fill="auto"/>
            <w:tcMar>
              <w:top w:w="40" w:type="dxa"/>
              <w:left w:w="40" w:type="dxa"/>
              <w:bottom w:w="40" w:type="dxa"/>
              <w:right w:w="40" w:type="dxa"/>
            </w:tcMar>
            <w:vAlign w:val="bottom"/>
          </w:tcPr>
          <w:p w14:paraId="3750DF9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9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243</w:t>
            </w:r>
          </w:p>
        </w:tc>
        <w:tc>
          <w:tcPr>
            <w:tcW w:w="0" w:type="auto"/>
            <w:shd w:val="clear" w:color="auto" w:fill="auto"/>
            <w:vAlign w:val="bottom"/>
          </w:tcPr>
          <w:p w14:paraId="3750DF9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F9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9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251</w:t>
            </w:r>
          </w:p>
        </w:tc>
        <w:tc>
          <w:tcPr>
            <w:tcW w:w="0" w:type="auto"/>
            <w:shd w:val="clear" w:color="auto" w:fill="auto"/>
            <w:vAlign w:val="bottom"/>
          </w:tcPr>
          <w:p w14:paraId="3750DF95" w14:textId="77777777" w:rsidR="002541AD" w:rsidRDefault="002541AD">
            <w:pPr>
              <w:textAlignment w:val="bottom"/>
              <w:rPr>
                <w:rFonts w:ascii="Times New Roman" w:hAnsi="Times New Roman"/>
                <w:sz w:val="20"/>
                <w:szCs w:val="20"/>
              </w:rPr>
            </w:pPr>
          </w:p>
        </w:tc>
      </w:tr>
      <w:tr w:rsidR="002541AD" w14:paraId="3750DF9E" w14:textId="77777777">
        <w:tc>
          <w:tcPr>
            <w:tcW w:w="0" w:type="auto"/>
            <w:shd w:val="clear" w:color="auto" w:fill="auto"/>
            <w:tcMar>
              <w:top w:w="40" w:type="dxa"/>
              <w:left w:w="400" w:type="dxa"/>
              <w:bottom w:w="40" w:type="dxa"/>
              <w:right w:w="40" w:type="dxa"/>
            </w:tcMar>
            <w:vAlign w:val="bottom"/>
          </w:tcPr>
          <w:p w14:paraId="3750DF97" w14:textId="77777777" w:rsidR="002541AD" w:rsidRDefault="00901AA6">
            <w:pPr>
              <w:ind w:hanging="240"/>
              <w:textAlignment w:val="bottom"/>
              <w:rPr>
                <w:rFonts w:ascii="Times New Roman" w:hAnsi="Times New Roman"/>
                <w:sz w:val="18"/>
                <w:szCs w:val="18"/>
              </w:rPr>
            </w:pPr>
            <w:r>
              <w:rPr>
                <w:rFonts w:ascii="Arial" w:eastAsia="宋体" w:hAnsi="Arial" w:cs="Arial"/>
                <w:color w:val="333333"/>
                <w:sz w:val="18"/>
                <w:szCs w:val="18"/>
              </w:rPr>
              <w:t>Mobileye</w:t>
            </w:r>
          </w:p>
        </w:tc>
        <w:tc>
          <w:tcPr>
            <w:tcW w:w="0" w:type="auto"/>
            <w:shd w:val="clear" w:color="auto" w:fill="auto"/>
            <w:tcMar>
              <w:top w:w="40" w:type="dxa"/>
              <w:left w:w="40" w:type="dxa"/>
              <w:bottom w:w="40" w:type="dxa"/>
              <w:right w:w="40" w:type="dxa"/>
            </w:tcMar>
            <w:vAlign w:val="bottom"/>
          </w:tcPr>
          <w:p w14:paraId="3750DF9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DF9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88</w:t>
            </w:r>
          </w:p>
        </w:tc>
        <w:tc>
          <w:tcPr>
            <w:tcW w:w="0" w:type="auto"/>
            <w:tcBorders>
              <w:bottom w:val="single" w:sz="8" w:space="0" w:color="333333"/>
            </w:tcBorders>
            <w:shd w:val="clear" w:color="auto" w:fill="auto"/>
            <w:vAlign w:val="bottom"/>
          </w:tcPr>
          <w:p w14:paraId="3750DF9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F9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DF9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68</w:t>
            </w:r>
          </w:p>
        </w:tc>
        <w:tc>
          <w:tcPr>
            <w:tcW w:w="0" w:type="auto"/>
            <w:tcBorders>
              <w:bottom w:val="single" w:sz="8" w:space="0" w:color="333333"/>
            </w:tcBorders>
            <w:shd w:val="clear" w:color="auto" w:fill="auto"/>
            <w:vAlign w:val="bottom"/>
          </w:tcPr>
          <w:p w14:paraId="3750DF9D" w14:textId="77777777" w:rsidR="002541AD" w:rsidRDefault="002541AD">
            <w:pPr>
              <w:textAlignment w:val="bottom"/>
              <w:rPr>
                <w:rFonts w:ascii="Times New Roman" w:hAnsi="Times New Roman"/>
                <w:sz w:val="20"/>
                <w:szCs w:val="20"/>
              </w:rPr>
            </w:pPr>
          </w:p>
        </w:tc>
      </w:tr>
      <w:tr w:rsidR="002541AD" w14:paraId="3750DFA6" w14:textId="77777777">
        <w:tc>
          <w:tcPr>
            <w:tcW w:w="0" w:type="auto"/>
            <w:shd w:val="clear" w:color="auto" w:fill="auto"/>
            <w:tcMar>
              <w:top w:w="40" w:type="dxa"/>
              <w:left w:w="40" w:type="dxa"/>
              <w:bottom w:w="40" w:type="dxa"/>
              <w:right w:w="40" w:type="dxa"/>
            </w:tcMar>
            <w:vAlign w:val="bottom"/>
          </w:tcPr>
          <w:p w14:paraId="3750DF9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FA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A1"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331</w:t>
            </w:r>
          </w:p>
        </w:tc>
        <w:tc>
          <w:tcPr>
            <w:tcW w:w="0" w:type="auto"/>
            <w:shd w:val="clear" w:color="auto" w:fill="auto"/>
            <w:vAlign w:val="bottom"/>
          </w:tcPr>
          <w:p w14:paraId="3750DFA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FA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A4"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319</w:t>
            </w:r>
          </w:p>
        </w:tc>
        <w:tc>
          <w:tcPr>
            <w:tcW w:w="0" w:type="auto"/>
            <w:shd w:val="clear" w:color="auto" w:fill="auto"/>
            <w:vAlign w:val="bottom"/>
          </w:tcPr>
          <w:p w14:paraId="3750DFA5" w14:textId="77777777" w:rsidR="002541AD" w:rsidRDefault="002541AD">
            <w:pPr>
              <w:textAlignment w:val="bottom"/>
              <w:rPr>
                <w:rFonts w:ascii="Times New Roman" w:hAnsi="Times New Roman"/>
                <w:sz w:val="20"/>
                <w:szCs w:val="20"/>
              </w:rPr>
            </w:pPr>
          </w:p>
        </w:tc>
      </w:tr>
      <w:tr w:rsidR="002541AD" w14:paraId="3750DFAC" w14:textId="77777777">
        <w:tc>
          <w:tcPr>
            <w:tcW w:w="0" w:type="auto"/>
            <w:shd w:val="clear" w:color="auto" w:fill="auto"/>
            <w:tcMar>
              <w:top w:w="40" w:type="dxa"/>
              <w:left w:w="40" w:type="dxa"/>
              <w:bottom w:w="40" w:type="dxa"/>
              <w:right w:w="40" w:type="dxa"/>
            </w:tcMar>
            <w:vAlign w:val="bottom"/>
          </w:tcPr>
          <w:p w14:paraId="3750DFA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FA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FA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FA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DFA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DFB4" w14:textId="77777777">
        <w:tc>
          <w:tcPr>
            <w:tcW w:w="0" w:type="auto"/>
            <w:shd w:val="clear" w:color="auto" w:fill="auto"/>
            <w:tcMar>
              <w:top w:w="40" w:type="dxa"/>
              <w:left w:w="240" w:type="dxa"/>
              <w:bottom w:w="40" w:type="dxa"/>
              <w:right w:w="40" w:type="dxa"/>
            </w:tcMar>
            <w:vAlign w:val="bottom"/>
          </w:tcPr>
          <w:p w14:paraId="3750DFAD"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Non-Volatile Memory Solutions Group</w:t>
            </w:r>
          </w:p>
        </w:tc>
        <w:tc>
          <w:tcPr>
            <w:tcW w:w="0" w:type="auto"/>
            <w:shd w:val="clear" w:color="auto" w:fill="auto"/>
            <w:tcMar>
              <w:top w:w="40" w:type="dxa"/>
              <w:left w:w="40" w:type="dxa"/>
              <w:bottom w:w="40" w:type="dxa"/>
              <w:right w:w="40" w:type="dxa"/>
            </w:tcMar>
            <w:vAlign w:val="bottom"/>
          </w:tcPr>
          <w:p w14:paraId="3750DFA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AF"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(66</w:t>
            </w:r>
          </w:p>
        </w:tc>
        <w:tc>
          <w:tcPr>
            <w:tcW w:w="0" w:type="auto"/>
            <w:shd w:val="clear" w:color="auto" w:fill="auto"/>
            <w:tcMar>
              <w:top w:w="40" w:type="dxa"/>
              <w:bottom w:w="40" w:type="dxa"/>
              <w:right w:w="40" w:type="dxa"/>
            </w:tcMar>
            <w:vAlign w:val="bottom"/>
          </w:tcPr>
          <w:p w14:paraId="3750DFB0"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3750DFB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B2"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(297</w:t>
            </w:r>
          </w:p>
        </w:tc>
        <w:tc>
          <w:tcPr>
            <w:tcW w:w="0" w:type="auto"/>
            <w:shd w:val="clear" w:color="auto" w:fill="auto"/>
            <w:tcMar>
              <w:top w:w="40" w:type="dxa"/>
              <w:bottom w:w="40" w:type="dxa"/>
              <w:right w:w="40" w:type="dxa"/>
            </w:tcMar>
            <w:vAlign w:val="bottom"/>
          </w:tcPr>
          <w:p w14:paraId="3750DFB3"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r>
      <w:tr w:rsidR="002541AD" w14:paraId="3750DFBC" w14:textId="77777777">
        <w:tc>
          <w:tcPr>
            <w:tcW w:w="0" w:type="auto"/>
            <w:shd w:val="clear" w:color="auto" w:fill="auto"/>
            <w:tcMar>
              <w:top w:w="40" w:type="dxa"/>
              <w:left w:w="240" w:type="dxa"/>
              <w:bottom w:w="40" w:type="dxa"/>
              <w:right w:w="40" w:type="dxa"/>
            </w:tcMar>
            <w:vAlign w:val="bottom"/>
          </w:tcPr>
          <w:p w14:paraId="3750DFB5"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Programmable Solutions Group</w:t>
            </w:r>
          </w:p>
        </w:tc>
        <w:tc>
          <w:tcPr>
            <w:tcW w:w="0" w:type="auto"/>
            <w:shd w:val="clear" w:color="auto" w:fill="auto"/>
            <w:tcMar>
              <w:top w:w="40" w:type="dxa"/>
              <w:left w:w="40" w:type="dxa"/>
              <w:bottom w:w="40" w:type="dxa"/>
              <w:right w:w="40" w:type="dxa"/>
            </w:tcMar>
            <w:vAlign w:val="bottom"/>
          </w:tcPr>
          <w:p w14:paraId="3750DFB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B7"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97</w:t>
            </w:r>
          </w:p>
        </w:tc>
        <w:tc>
          <w:tcPr>
            <w:tcW w:w="0" w:type="auto"/>
            <w:shd w:val="clear" w:color="auto" w:fill="auto"/>
            <w:vAlign w:val="bottom"/>
          </w:tcPr>
          <w:p w14:paraId="3750DFB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FB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BA"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89</w:t>
            </w:r>
          </w:p>
        </w:tc>
        <w:tc>
          <w:tcPr>
            <w:tcW w:w="0" w:type="auto"/>
            <w:shd w:val="clear" w:color="auto" w:fill="auto"/>
            <w:vAlign w:val="bottom"/>
          </w:tcPr>
          <w:p w14:paraId="3750DFBB" w14:textId="77777777" w:rsidR="002541AD" w:rsidRDefault="002541AD">
            <w:pPr>
              <w:textAlignment w:val="bottom"/>
              <w:rPr>
                <w:rFonts w:ascii="Times New Roman" w:hAnsi="Times New Roman"/>
                <w:sz w:val="20"/>
                <w:szCs w:val="20"/>
              </w:rPr>
            </w:pPr>
          </w:p>
        </w:tc>
      </w:tr>
      <w:tr w:rsidR="002541AD" w14:paraId="3750DFC4" w14:textId="77777777">
        <w:tc>
          <w:tcPr>
            <w:tcW w:w="0" w:type="auto"/>
            <w:shd w:val="clear" w:color="auto" w:fill="auto"/>
            <w:tcMar>
              <w:top w:w="40" w:type="dxa"/>
              <w:left w:w="240" w:type="dxa"/>
              <w:bottom w:w="40" w:type="dxa"/>
              <w:right w:w="40" w:type="dxa"/>
            </w:tcMar>
            <w:vAlign w:val="bottom"/>
          </w:tcPr>
          <w:p w14:paraId="3750DFBD"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Client Computing Group</w:t>
            </w:r>
          </w:p>
        </w:tc>
        <w:tc>
          <w:tcPr>
            <w:tcW w:w="0" w:type="auto"/>
            <w:shd w:val="clear" w:color="auto" w:fill="auto"/>
            <w:tcMar>
              <w:top w:w="40" w:type="dxa"/>
              <w:left w:w="40" w:type="dxa"/>
              <w:bottom w:w="40" w:type="dxa"/>
              <w:right w:w="40" w:type="dxa"/>
            </w:tcMar>
            <w:vAlign w:val="bottom"/>
          </w:tcPr>
          <w:p w14:paraId="3750DFB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BF"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4,225</w:t>
            </w:r>
          </w:p>
        </w:tc>
        <w:tc>
          <w:tcPr>
            <w:tcW w:w="0" w:type="auto"/>
            <w:shd w:val="clear" w:color="auto" w:fill="auto"/>
            <w:vAlign w:val="bottom"/>
          </w:tcPr>
          <w:p w14:paraId="3750DFC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FC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DFC2"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3,072</w:t>
            </w:r>
          </w:p>
        </w:tc>
        <w:tc>
          <w:tcPr>
            <w:tcW w:w="0" w:type="auto"/>
            <w:shd w:val="clear" w:color="auto" w:fill="auto"/>
            <w:vAlign w:val="bottom"/>
          </w:tcPr>
          <w:p w14:paraId="3750DFC3" w14:textId="77777777" w:rsidR="002541AD" w:rsidRDefault="002541AD">
            <w:pPr>
              <w:textAlignment w:val="bottom"/>
              <w:rPr>
                <w:rFonts w:ascii="Times New Roman" w:hAnsi="Times New Roman"/>
                <w:sz w:val="20"/>
                <w:szCs w:val="20"/>
              </w:rPr>
            </w:pPr>
          </w:p>
        </w:tc>
      </w:tr>
      <w:tr w:rsidR="002541AD" w14:paraId="3750DFCC" w14:textId="77777777">
        <w:tc>
          <w:tcPr>
            <w:tcW w:w="0" w:type="auto"/>
            <w:shd w:val="clear" w:color="auto" w:fill="auto"/>
            <w:tcMar>
              <w:top w:w="40" w:type="dxa"/>
              <w:left w:w="240" w:type="dxa"/>
              <w:bottom w:w="40" w:type="dxa"/>
              <w:right w:w="40" w:type="dxa"/>
            </w:tcMar>
            <w:vAlign w:val="bottom"/>
          </w:tcPr>
          <w:p w14:paraId="3750DFC5"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All other</w:t>
            </w:r>
          </w:p>
        </w:tc>
        <w:tc>
          <w:tcPr>
            <w:tcW w:w="0" w:type="auto"/>
            <w:shd w:val="clear" w:color="auto" w:fill="auto"/>
            <w:tcMar>
              <w:top w:w="40" w:type="dxa"/>
              <w:left w:w="40" w:type="dxa"/>
              <w:bottom w:w="40" w:type="dxa"/>
              <w:right w:w="40" w:type="dxa"/>
            </w:tcMar>
            <w:vAlign w:val="bottom"/>
          </w:tcPr>
          <w:p w14:paraId="3750DFC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DFC7"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(1,041</w:t>
            </w:r>
          </w:p>
        </w:tc>
        <w:tc>
          <w:tcPr>
            <w:tcW w:w="0" w:type="auto"/>
            <w:tcBorders>
              <w:bottom w:val="single" w:sz="8" w:space="0" w:color="333333"/>
            </w:tcBorders>
            <w:shd w:val="clear" w:color="auto" w:fill="auto"/>
            <w:tcMar>
              <w:top w:w="40" w:type="dxa"/>
              <w:bottom w:w="40" w:type="dxa"/>
              <w:right w:w="40" w:type="dxa"/>
            </w:tcMar>
            <w:vAlign w:val="bottom"/>
          </w:tcPr>
          <w:p w14:paraId="3750DFC8"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3750DFC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DFCA"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(850</w:t>
            </w:r>
          </w:p>
        </w:tc>
        <w:tc>
          <w:tcPr>
            <w:tcW w:w="0" w:type="auto"/>
            <w:tcBorders>
              <w:bottom w:val="single" w:sz="8" w:space="0" w:color="333333"/>
            </w:tcBorders>
            <w:shd w:val="clear" w:color="auto" w:fill="auto"/>
            <w:tcMar>
              <w:top w:w="40" w:type="dxa"/>
              <w:bottom w:w="40" w:type="dxa"/>
              <w:right w:w="40" w:type="dxa"/>
            </w:tcMar>
            <w:vAlign w:val="bottom"/>
          </w:tcPr>
          <w:p w14:paraId="3750DFCB"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r>
      <w:tr w:rsidR="002541AD" w14:paraId="3750DFD6" w14:textId="77777777">
        <w:tc>
          <w:tcPr>
            <w:tcW w:w="0" w:type="auto"/>
            <w:shd w:val="clear" w:color="auto" w:fill="auto"/>
            <w:tcMar>
              <w:top w:w="40" w:type="dxa"/>
              <w:left w:w="40" w:type="dxa"/>
              <w:bottom w:w="40" w:type="dxa"/>
              <w:right w:w="40" w:type="dxa"/>
            </w:tcMar>
            <w:vAlign w:val="bottom"/>
          </w:tcPr>
          <w:p w14:paraId="3750DFCD"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Total operating income</w:t>
            </w:r>
          </w:p>
        </w:tc>
        <w:tc>
          <w:tcPr>
            <w:tcW w:w="0" w:type="auto"/>
            <w:shd w:val="clear" w:color="auto" w:fill="auto"/>
            <w:tcMar>
              <w:top w:w="40" w:type="dxa"/>
              <w:left w:w="40" w:type="dxa"/>
              <w:bottom w:w="40" w:type="dxa"/>
              <w:right w:w="40" w:type="dxa"/>
            </w:tcMar>
            <w:vAlign w:val="bottom"/>
          </w:tcPr>
          <w:p w14:paraId="3750DFC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DFCF"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DFD0"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7,038</w:t>
            </w:r>
          </w:p>
        </w:tc>
        <w:tc>
          <w:tcPr>
            <w:tcW w:w="0" w:type="auto"/>
            <w:tcBorders>
              <w:top w:val="single" w:sz="8" w:space="0" w:color="333333"/>
              <w:bottom w:val="double" w:sz="6" w:space="0" w:color="333333"/>
            </w:tcBorders>
            <w:shd w:val="clear" w:color="auto" w:fill="auto"/>
            <w:vAlign w:val="bottom"/>
          </w:tcPr>
          <w:p w14:paraId="3750DFD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DFD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DFD3"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DFD4"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4,174</w:t>
            </w:r>
          </w:p>
        </w:tc>
        <w:tc>
          <w:tcPr>
            <w:tcW w:w="0" w:type="auto"/>
            <w:tcBorders>
              <w:top w:val="single" w:sz="8" w:space="0" w:color="333333"/>
              <w:bottom w:val="double" w:sz="6" w:space="0" w:color="333333"/>
            </w:tcBorders>
            <w:shd w:val="clear" w:color="auto" w:fill="auto"/>
            <w:vAlign w:val="bottom"/>
          </w:tcPr>
          <w:p w14:paraId="3750DFD5" w14:textId="77777777" w:rsidR="002541AD" w:rsidRDefault="002541AD">
            <w:pPr>
              <w:textAlignment w:val="bottom"/>
              <w:rPr>
                <w:rFonts w:ascii="Times New Roman" w:hAnsi="Times New Roman"/>
                <w:sz w:val="20"/>
                <w:szCs w:val="20"/>
              </w:rPr>
            </w:pPr>
          </w:p>
        </w:tc>
      </w:tr>
    </w:tbl>
    <w:p w14:paraId="3750DFD7" w14:textId="77777777" w:rsidR="002541AD" w:rsidRDefault="002541AD">
      <w:pPr>
        <w:spacing w:line="288" w:lineRule="auto"/>
        <w:rPr>
          <w:rFonts w:ascii="Times New Roman" w:hAnsi="Times New Roman"/>
          <w:sz w:val="20"/>
          <w:szCs w:val="20"/>
        </w:rPr>
      </w:pPr>
    </w:p>
    <w:p w14:paraId="3750DFD8"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DFDA" w14:textId="77777777">
        <w:tc>
          <w:tcPr>
            <w:tcW w:w="0" w:type="auto"/>
            <w:gridSpan w:val="3"/>
            <w:shd w:val="clear" w:color="auto" w:fill="auto"/>
            <w:vAlign w:val="center"/>
          </w:tcPr>
          <w:p w14:paraId="3750DFD9" w14:textId="77777777" w:rsidR="002541AD" w:rsidRDefault="002541AD">
            <w:pPr>
              <w:rPr>
                <w:rFonts w:ascii="Times New Roman" w:hAnsi="Times New Roman"/>
                <w:sz w:val="20"/>
                <w:szCs w:val="20"/>
              </w:rPr>
            </w:pPr>
          </w:p>
        </w:tc>
      </w:tr>
      <w:tr w:rsidR="002541AD" w14:paraId="3750DFDE" w14:textId="77777777">
        <w:tc>
          <w:tcPr>
            <w:tcW w:w="1550" w:type="pct"/>
            <w:shd w:val="clear" w:color="auto" w:fill="auto"/>
            <w:vAlign w:val="center"/>
          </w:tcPr>
          <w:p w14:paraId="3750DFDB" w14:textId="77777777" w:rsidR="002541AD" w:rsidRDefault="002541AD">
            <w:pPr>
              <w:rPr>
                <w:rFonts w:ascii="Times New Roman" w:hAnsi="Times New Roman"/>
                <w:sz w:val="20"/>
                <w:szCs w:val="20"/>
              </w:rPr>
            </w:pPr>
          </w:p>
        </w:tc>
        <w:tc>
          <w:tcPr>
            <w:tcW w:w="2200" w:type="pct"/>
            <w:shd w:val="clear" w:color="auto" w:fill="auto"/>
            <w:vAlign w:val="center"/>
          </w:tcPr>
          <w:p w14:paraId="3750DFDC" w14:textId="77777777" w:rsidR="002541AD" w:rsidRDefault="002541AD">
            <w:pPr>
              <w:rPr>
                <w:rFonts w:ascii="Times New Roman" w:hAnsi="Times New Roman"/>
                <w:sz w:val="20"/>
                <w:szCs w:val="20"/>
              </w:rPr>
            </w:pPr>
          </w:p>
        </w:tc>
        <w:tc>
          <w:tcPr>
            <w:tcW w:w="1250" w:type="pct"/>
            <w:shd w:val="clear" w:color="auto" w:fill="auto"/>
            <w:vAlign w:val="center"/>
          </w:tcPr>
          <w:p w14:paraId="3750DFDD" w14:textId="77777777" w:rsidR="002541AD" w:rsidRDefault="002541AD">
            <w:pPr>
              <w:rPr>
                <w:rFonts w:ascii="Times New Roman" w:hAnsi="Times New Roman"/>
                <w:sz w:val="20"/>
                <w:szCs w:val="20"/>
              </w:rPr>
            </w:pPr>
          </w:p>
        </w:tc>
      </w:tr>
      <w:tr w:rsidR="002541AD" w14:paraId="3750DFE2" w14:textId="77777777">
        <w:tc>
          <w:tcPr>
            <w:tcW w:w="0" w:type="auto"/>
            <w:tcBorders>
              <w:top w:val="single" w:sz="8" w:space="0" w:color="0071C5"/>
              <w:right w:val="single" w:sz="24" w:space="0" w:color="0071C5"/>
            </w:tcBorders>
            <w:shd w:val="clear" w:color="auto" w:fill="auto"/>
            <w:tcMar>
              <w:top w:w="40" w:type="dxa"/>
              <w:left w:w="40" w:type="dxa"/>
              <w:bottom w:w="40" w:type="dxa"/>
              <w:right w:w="40" w:type="dxa"/>
            </w:tcMar>
            <w:vAlign w:val="center"/>
          </w:tcPr>
          <w:p w14:paraId="3750DFDF"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62" wp14:editId="3750F863">
                  <wp:extent cx="304800" cy="304800"/>
                  <wp:effectExtent l="0" t="0" r="0" b="0"/>
                  <wp:docPr id="40" name="图片 63"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3"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FE0"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DFE1"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12</w:t>
            </w:r>
          </w:p>
        </w:tc>
      </w:tr>
    </w:tbl>
    <w:p w14:paraId="3750DFE3" w14:textId="77777777" w:rsidR="002541AD" w:rsidRDefault="002541AD">
      <w:pPr>
        <w:spacing w:line="288" w:lineRule="auto"/>
        <w:rPr>
          <w:rFonts w:ascii="Times New Roman" w:hAnsi="Times New Roman"/>
          <w:sz w:val="18"/>
          <w:szCs w:val="18"/>
        </w:rPr>
      </w:pPr>
    </w:p>
    <w:p w14:paraId="3750DFE4" w14:textId="77777777" w:rsidR="002541AD" w:rsidRDefault="002541AD">
      <w:pPr>
        <w:spacing w:line="288" w:lineRule="auto"/>
        <w:rPr>
          <w:rFonts w:ascii="Times New Roman" w:hAnsi="Times New Roman"/>
          <w:sz w:val="18"/>
          <w:szCs w:val="18"/>
        </w:rPr>
      </w:pPr>
    </w:p>
    <w:p w14:paraId="3750DFE5" w14:textId="77777777" w:rsidR="002541AD" w:rsidRDefault="00901AA6">
      <w:r>
        <w:rPr>
          <w:rFonts w:ascii="Times New Roman" w:hAnsi="Times New Roman"/>
          <w:sz w:val="18"/>
          <w:szCs w:val="18"/>
        </w:rPr>
        <w:pict w14:anchorId="3750F864">
          <v:rect id="_x0000_i1038" style="width:415.3pt;height:1.5pt" o:hralign="center" o:hrstd="t" o:hr="t" fillcolor="#a0a0a0" stroked="f"/>
        </w:pict>
      </w:r>
    </w:p>
    <w:p w14:paraId="3750DFE6" w14:textId="77777777" w:rsidR="002541AD" w:rsidRDefault="00901AA6">
      <w:pPr>
        <w:spacing w:line="288" w:lineRule="auto"/>
        <w:jc w:val="right"/>
        <w:rPr>
          <w:rFonts w:ascii="Times New Roman" w:hAnsi="Times New Roman"/>
          <w:sz w:val="16"/>
          <w:szCs w:val="16"/>
        </w:rPr>
      </w:pPr>
      <w:hyperlink r:id="rId41" w:anchor="s2CABEAF4222C52B4A34547BF538A8C27" w:history="1">
        <w:r>
          <w:rPr>
            <w:rStyle w:val="a5"/>
            <w:rFonts w:ascii="Arial" w:eastAsia="宋体" w:hAnsi="Arial" w:cs="Arial"/>
            <w:b/>
            <w:bCs/>
            <w:sz w:val="16"/>
            <w:szCs w:val="16"/>
          </w:rPr>
          <w:t>Table of Contents</w:t>
        </w:r>
      </w:hyperlink>
    </w:p>
    <w:p w14:paraId="3750DFE7" w14:textId="77777777" w:rsidR="002541AD" w:rsidRDefault="002541AD">
      <w:pPr>
        <w:spacing w:line="288" w:lineRule="auto"/>
        <w:jc w:val="right"/>
        <w:rPr>
          <w:rFonts w:ascii="Times New Roman" w:hAnsi="Times New Roman"/>
          <w:sz w:val="18"/>
          <w:szCs w:val="18"/>
        </w:rPr>
      </w:pPr>
    </w:p>
    <w:p w14:paraId="3750DFE8" w14:textId="77777777" w:rsidR="002541AD" w:rsidRDefault="002541AD">
      <w:pPr>
        <w:rPr>
          <w:rFonts w:ascii="Times New Roman" w:hAnsi="Times New Roman"/>
          <w:sz w:val="20"/>
          <w:szCs w:val="20"/>
        </w:rPr>
      </w:pPr>
    </w:p>
    <w:p w14:paraId="3750DFE9"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Disaggregated net revenue for each period was as follows:</w:t>
      </w:r>
    </w:p>
    <w:tbl>
      <w:tblPr>
        <w:tblW w:w="5000" w:type="pct"/>
        <w:tblCellMar>
          <w:left w:w="0" w:type="dxa"/>
          <w:right w:w="0" w:type="dxa"/>
        </w:tblCellMar>
        <w:tblLook w:val="04A0" w:firstRow="1" w:lastRow="0" w:firstColumn="1" w:lastColumn="0" w:noHBand="0" w:noVBand="1"/>
      </w:tblPr>
      <w:tblGrid>
        <w:gridCol w:w="6097"/>
        <w:gridCol w:w="130"/>
        <w:gridCol w:w="142"/>
        <w:gridCol w:w="782"/>
        <w:gridCol w:w="58"/>
        <w:gridCol w:w="130"/>
        <w:gridCol w:w="142"/>
        <w:gridCol w:w="767"/>
        <w:gridCol w:w="58"/>
      </w:tblGrid>
      <w:tr w:rsidR="002541AD" w14:paraId="3750DFEB" w14:textId="77777777">
        <w:tc>
          <w:tcPr>
            <w:tcW w:w="0" w:type="auto"/>
            <w:gridSpan w:val="9"/>
            <w:shd w:val="clear" w:color="auto" w:fill="auto"/>
            <w:vAlign w:val="center"/>
          </w:tcPr>
          <w:p w14:paraId="3750DFEA" w14:textId="77777777" w:rsidR="002541AD" w:rsidRDefault="002541AD">
            <w:pPr>
              <w:rPr>
                <w:rFonts w:ascii="Times New Roman" w:hAnsi="Times New Roman"/>
                <w:sz w:val="20"/>
                <w:szCs w:val="20"/>
              </w:rPr>
            </w:pPr>
          </w:p>
        </w:tc>
      </w:tr>
      <w:tr w:rsidR="002541AD" w14:paraId="3750DFF5" w14:textId="77777777">
        <w:tc>
          <w:tcPr>
            <w:tcW w:w="3700" w:type="pct"/>
            <w:shd w:val="clear" w:color="auto" w:fill="auto"/>
            <w:vAlign w:val="center"/>
          </w:tcPr>
          <w:p w14:paraId="3750DFEC" w14:textId="77777777" w:rsidR="002541AD" w:rsidRDefault="002541AD">
            <w:pPr>
              <w:rPr>
                <w:rFonts w:ascii="Times New Roman" w:hAnsi="Times New Roman"/>
                <w:sz w:val="20"/>
                <w:szCs w:val="20"/>
              </w:rPr>
            </w:pPr>
          </w:p>
        </w:tc>
        <w:tc>
          <w:tcPr>
            <w:tcW w:w="50" w:type="pct"/>
            <w:shd w:val="clear" w:color="auto" w:fill="auto"/>
            <w:vAlign w:val="center"/>
          </w:tcPr>
          <w:p w14:paraId="3750DFED" w14:textId="77777777" w:rsidR="002541AD" w:rsidRDefault="002541AD">
            <w:pPr>
              <w:rPr>
                <w:rFonts w:ascii="Times New Roman" w:hAnsi="Times New Roman"/>
                <w:sz w:val="20"/>
                <w:szCs w:val="20"/>
              </w:rPr>
            </w:pPr>
          </w:p>
        </w:tc>
        <w:tc>
          <w:tcPr>
            <w:tcW w:w="50" w:type="pct"/>
            <w:shd w:val="clear" w:color="auto" w:fill="auto"/>
            <w:vAlign w:val="center"/>
          </w:tcPr>
          <w:p w14:paraId="3750DFEE" w14:textId="77777777" w:rsidR="002541AD" w:rsidRDefault="002541AD">
            <w:pPr>
              <w:rPr>
                <w:rFonts w:ascii="Times New Roman" w:hAnsi="Times New Roman"/>
                <w:sz w:val="20"/>
                <w:szCs w:val="20"/>
              </w:rPr>
            </w:pPr>
          </w:p>
        </w:tc>
        <w:tc>
          <w:tcPr>
            <w:tcW w:w="500" w:type="pct"/>
            <w:shd w:val="clear" w:color="auto" w:fill="auto"/>
            <w:vAlign w:val="center"/>
          </w:tcPr>
          <w:p w14:paraId="3750DFEF" w14:textId="77777777" w:rsidR="002541AD" w:rsidRDefault="002541AD">
            <w:pPr>
              <w:rPr>
                <w:rFonts w:ascii="Times New Roman" w:hAnsi="Times New Roman"/>
                <w:sz w:val="20"/>
                <w:szCs w:val="20"/>
              </w:rPr>
            </w:pPr>
          </w:p>
        </w:tc>
        <w:tc>
          <w:tcPr>
            <w:tcW w:w="50" w:type="pct"/>
            <w:shd w:val="clear" w:color="auto" w:fill="auto"/>
            <w:vAlign w:val="center"/>
          </w:tcPr>
          <w:p w14:paraId="3750DFF0" w14:textId="77777777" w:rsidR="002541AD" w:rsidRDefault="002541AD">
            <w:pPr>
              <w:rPr>
                <w:rFonts w:ascii="Times New Roman" w:hAnsi="Times New Roman"/>
                <w:sz w:val="20"/>
                <w:szCs w:val="20"/>
              </w:rPr>
            </w:pPr>
          </w:p>
        </w:tc>
        <w:tc>
          <w:tcPr>
            <w:tcW w:w="50" w:type="pct"/>
            <w:shd w:val="clear" w:color="auto" w:fill="auto"/>
            <w:vAlign w:val="center"/>
          </w:tcPr>
          <w:p w14:paraId="3750DFF1" w14:textId="77777777" w:rsidR="002541AD" w:rsidRDefault="002541AD">
            <w:pPr>
              <w:rPr>
                <w:rFonts w:ascii="Times New Roman" w:hAnsi="Times New Roman"/>
                <w:sz w:val="20"/>
                <w:szCs w:val="20"/>
              </w:rPr>
            </w:pPr>
          </w:p>
        </w:tc>
        <w:tc>
          <w:tcPr>
            <w:tcW w:w="50" w:type="pct"/>
            <w:shd w:val="clear" w:color="auto" w:fill="auto"/>
            <w:vAlign w:val="center"/>
          </w:tcPr>
          <w:p w14:paraId="3750DFF2" w14:textId="77777777" w:rsidR="002541AD" w:rsidRDefault="002541AD">
            <w:pPr>
              <w:rPr>
                <w:rFonts w:ascii="Times New Roman" w:hAnsi="Times New Roman"/>
                <w:sz w:val="20"/>
                <w:szCs w:val="20"/>
              </w:rPr>
            </w:pPr>
          </w:p>
        </w:tc>
        <w:tc>
          <w:tcPr>
            <w:tcW w:w="500" w:type="pct"/>
            <w:shd w:val="clear" w:color="auto" w:fill="auto"/>
            <w:vAlign w:val="center"/>
          </w:tcPr>
          <w:p w14:paraId="3750DFF3" w14:textId="77777777" w:rsidR="002541AD" w:rsidRDefault="002541AD">
            <w:pPr>
              <w:rPr>
                <w:rFonts w:ascii="Times New Roman" w:hAnsi="Times New Roman"/>
                <w:sz w:val="20"/>
                <w:szCs w:val="20"/>
              </w:rPr>
            </w:pPr>
          </w:p>
        </w:tc>
        <w:tc>
          <w:tcPr>
            <w:tcW w:w="50" w:type="pct"/>
            <w:shd w:val="clear" w:color="auto" w:fill="auto"/>
            <w:vAlign w:val="center"/>
          </w:tcPr>
          <w:p w14:paraId="3750DFF4" w14:textId="77777777" w:rsidR="002541AD" w:rsidRDefault="002541AD">
            <w:pPr>
              <w:rPr>
                <w:rFonts w:ascii="Times New Roman" w:hAnsi="Times New Roman"/>
                <w:sz w:val="20"/>
                <w:szCs w:val="20"/>
              </w:rPr>
            </w:pPr>
          </w:p>
        </w:tc>
      </w:tr>
      <w:tr w:rsidR="002541AD" w14:paraId="3750DFF9" w14:textId="77777777">
        <w:tc>
          <w:tcPr>
            <w:tcW w:w="0" w:type="auto"/>
            <w:shd w:val="clear" w:color="auto" w:fill="auto"/>
            <w:tcMar>
              <w:top w:w="40" w:type="dxa"/>
              <w:left w:w="40" w:type="dxa"/>
              <w:bottom w:w="40" w:type="dxa"/>
              <w:right w:w="40" w:type="dxa"/>
            </w:tcMar>
            <w:vAlign w:val="bottom"/>
          </w:tcPr>
          <w:p w14:paraId="3750DFF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DFF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3750DFF8"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Three Months Ended</w:t>
            </w:r>
          </w:p>
        </w:tc>
      </w:tr>
      <w:tr w:rsidR="002541AD" w14:paraId="3750DFFF"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DFFA"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DFF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DFFC"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c>
          <w:tcPr>
            <w:tcW w:w="0" w:type="auto"/>
            <w:shd w:val="clear" w:color="auto" w:fill="auto"/>
            <w:tcMar>
              <w:top w:w="40" w:type="dxa"/>
              <w:left w:w="40" w:type="dxa"/>
              <w:bottom w:w="40" w:type="dxa"/>
              <w:right w:w="40" w:type="dxa"/>
            </w:tcMar>
            <w:vAlign w:val="bottom"/>
          </w:tcPr>
          <w:p w14:paraId="3750DFF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DFFE"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30, </w:t>
            </w:r>
            <w:r>
              <w:rPr>
                <w:rFonts w:ascii="Arial" w:eastAsia="宋体" w:hAnsi="Arial" w:cs="Arial"/>
                <w:b/>
                <w:bCs/>
                <w:color w:val="333333"/>
                <w:sz w:val="18"/>
                <w:szCs w:val="18"/>
              </w:rPr>
              <w:br/>
              <w:t>2019</w:t>
            </w:r>
          </w:p>
        </w:tc>
      </w:tr>
      <w:tr w:rsidR="002541AD" w14:paraId="3750E005" w14:textId="77777777">
        <w:tc>
          <w:tcPr>
            <w:tcW w:w="0" w:type="auto"/>
            <w:shd w:val="clear" w:color="auto" w:fill="auto"/>
            <w:tcMar>
              <w:top w:w="40" w:type="dxa"/>
              <w:left w:w="240" w:type="dxa"/>
              <w:bottom w:w="40" w:type="dxa"/>
              <w:right w:w="40" w:type="dxa"/>
            </w:tcMar>
            <w:vAlign w:val="bottom"/>
          </w:tcPr>
          <w:p w14:paraId="3750E000"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Platform revenue</w:t>
            </w:r>
          </w:p>
        </w:tc>
        <w:tc>
          <w:tcPr>
            <w:tcW w:w="0" w:type="auto"/>
            <w:shd w:val="clear" w:color="auto" w:fill="auto"/>
            <w:tcMar>
              <w:top w:w="40" w:type="dxa"/>
              <w:left w:w="40" w:type="dxa"/>
              <w:bottom w:w="40" w:type="dxa"/>
              <w:right w:w="40" w:type="dxa"/>
            </w:tcMar>
            <w:vAlign w:val="bottom"/>
          </w:tcPr>
          <w:p w14:paraId="3750E00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00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00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00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00F" w14:textId="77777777">
        <w:tc>
          <w:tcPr>
            <w:tcW w:w="0" w:type="auto"/>
            <w:shd w:val="clear" w:color="auto" w:fill="auto"/>
            <w:tcMar>
              <w:top w:w="40" w:type="dxa"/>
              <w:left w:w="560" w:type="dxa"/>
              <w:bottom w:w="40" w:type="dxa"/>
              <w:right w:w="40" w:type="dxa"/>
            </w:tcMar>
            <w:vAlign w:val="bottom"/>
          </w:tcPr>
          <w:p w14:paraId="3750E006"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DCG platform</w:t>
            </w:r>
          </w:p>
        </w:tc>
        <w:tc>
          <w:tcPr>
            <w:tcW w:w="0" w:type="auto"/>
            <w:shd w:val="clear" w:color="auto" w:fill="auto"/>
            <w:tcMar>
              <w:top w:w="40" w:type="dxa"/>
              <w:left w:w="40" w:type="dxa"/>
              <w:bottom w:w="40" w:type="dxa"/>
              <w:right w:w="40" w:type="dxa"/>
            </w:tcMar>
            <w:vAlign w:val="bottom"/>
          </w:tcPr>
          <w:p w14:paraId="3750E00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008"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00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6,427</w:t>
            </w:r>
          </w:p>
        </w:tc>
        <w:tc>
          <w:tcPr>
            <w:tcW w:w="0" w:type="auto"/>
            <w:shd w:val="clear" w:color="auto" w:fill="auto"/>
            <w:vAlign w:val="bottom"/>
          </w:tcPr>
          <w:p w14:paraId="3750E00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00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00C"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00D"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4,482</w:t>
            </w:r>
          </w:p>
        </w:tc>
        <w:tc>
          <w:tcPr>
            <w:tcW w:w="0" w:type="auto"/>
            <w:shd w:val="clear" w:color="auto" w:fill="auto"/>
            <w:vAlign w:val="bottom"/>
          </w:tcPr>
          <w:p w14:paraId="3750E00E" w14:textId="77777777" w:rsidR="002541AD" w:rsidRDefault="002541AD">
            <w:pPr>
              <w:textAlignment w:val="bottom"/>
              <w:rPr>
                <w:rFonts w:ascii="Times New Roman" w:hAnsi="Times New Roman"/>
                <w:sz w:val="20"/>
                <w:szCs w:val="20"/>
              </w:rPr>
            </w:pPr>
          </w:p>
        </w:tc>
      </w:tr>
      <w:tr w:rsidR="002541AD" w14:paraId="3750E017" w14:textId="77777777">
        <w:tc>
          <w:tcPr>
            <w:tcW w:w="0" w:type="auto"/>
            <w:shd w:val="clear" w:color="auto" w:fill="auto"/>
            <w:tcMar>
              <w:top w:w="40" w:type="dxa"/>
              <w:left w:w="560" w:type="dxa"/>
              <w:bottom w:w="40" w:type="dxa"/>
              <w:right w:w="40" w:type="dxa"/>
            </w:tcMar>
            <w:vAlign w:val="bottom"/>
          </w:tcPr>
          <w:p w14:paraId="3750E010"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IOTG platform</w:t>
            </w:r>
          </w:p>
        </w:tc>
        <w:tc>
          <w:tcPr>
            <w:tcW w:w="0" w:type="auto"/>
            <w:shd w:val="clear" w:color="auto" w:fill="auto"/>
            <w:tcMar>
              <w:top w:w="40" w:type="dxa"/>
              <w:left w:w="40" w:type="dxa"/>
              <w:bottom w:w="40" w:type="dxa"/>
              <w:right w:w="40" w:type="dxa"/>
            </w:tcMar>
            <w:vAlign w:val="bottom"/>
          </w:tcPr>
          <w:p w14:paraId="3750E01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012"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795</w:t>
            </w:r>
          </w:p>
        </w:tc>
        <w:tc>
          <w:tcPr>
            <w:tcW w:w="0" w:type="auto"/>
            <w:shd w:val="clear" w:color="auto" w:fill="auto"/>
            <w:vAlign w:val="bottom"/>
          </w:tcPr>
          <w:p w14:paraId="3750E01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01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015"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825</w:t>
            </w:r>
          </w:p>
        </w:tc>
        <w:tc>
          <w:tcPr>
            <w:tcW w:w="0" w:type="auto"/>
            <w:shd w:val="clear" w:color="auto" w:fill="auto"/>
            <w:vAlign w:val="bottom"/>
          </w:tcPr>
          <w:p w14:paraId="3750E016" w14:textId="77777777" w:rsidR="002541AD" w:rsidRDefault="002541AD">
            <w:pPr>
              <w:textAlignment w:val="bottom"/>
              <w:rPr>
                <w:rFonts w:ascii="Times New Roman" w:hAnsi="Times New Roman"/>
                <w:sz w:val="20"/>
                <w:szCs w:val="20"/>
              </w:rPr>
            </w:pPr>
          </w:p>
        </w:tc>
      </w:tr>
      <w:tr w:rsidR="002541AD" w14:paraId="3750E01F" w14:textId="77777777">
        <w:tc>
          <w:tcPr>
            <w:tcW w:w="0" w:type="auto"/>
            <w:shd w:val="clear" w:color="auto" w:fill="auto"/>
            <w:tcMar>
              <w:top w:w="40" w:type="dxa"/>
              <w:left w:w="560" w:type="dxa"/>
              <w:bottom w:w="40" w:type="dxa"/>
              <w:right w:w="40" w:type="dxa"/>
            </w:tcMar>
            <w:vAlign w:val="bottom"/>
          </w:tcPr>
          <w:p w14:paraId="3750E018"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CCG Desktop platform</w:t>
            </w:r>
          </w:p>
        </w:tc>
        <w:tc>
          <w:tcPr>
            <w:tcW w:w="0" w:type="auto"/>
            <w:shd w:val="clear" w:color="auto" w:fill="auto"/>
            <w:tcMar>
              <w:top w:w="40" w:type="dxa"/>
              <w:left w:w="40" w:type="dxa"/>
              <w:bottom w:w="40" w:type="dxa"/>
              <w:right w:w="40" w:type="dxa"/>
            </w:tcMar>
            <w:vAlign w:val="bottom"/>
          </w:tcPr>
          <w:p w14:paraId="3750E01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01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2,840</w:t>
            </w:r>
          </w:p>
        </w:tc>
        <w:tc>
          <w:tcPr>
            <w:tcW w:w="0" w:type="auto"/>
            <w:shd w:val="clear" w:color="auto" w:fill="auto"/>
            <w:vAlign w:val="bottom"/>
          </w:tcPr>
          <w:p w14:paraId="3750E01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01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01D"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2,886</w:t>
            </w:r>
          </w:p>
        </w:tc>
        <w:tc>
          <w:tcPr>
            <w:tcW w:w="0" w:type="auto"/>
            <w:shd w:val="clear" w:color="auto" w:fill="auto"/>
            <w:vAlign w:val="bottom"/>
          </w:tcPr>
          <w:p w14:paraId="3750E01E" w14:textId="77777777" w:rsidR="002541AD" w:rsidRDefault="002541AD">
            <w:pPr>
              <w:textAlignment w:val="bottom"/>
              <w:rPr>
                <w:rFonts w:ascii="Times New Roman" w:hAnsi="Times New Roman"/>
                <w:sz w:val="20"/>
                <w:szCs w:val="20"/>
              </w:rPr>
            </w:pPr>
          </w:p>
        </w:tc>
      </w:tr>
      <w:tr w:rsidR="002541AD" w14:paraId="3750E027" w14:textId="77777777">
        <w:tc>
          <w:tcPr>
            <w:tcW w:w="0" w:type="auto"/>
            <w:shd w:val="clear" w:color="auto" w:fill="auto"/>
            <w:tcMar>
              <w:top w:w="40" w:type="dxa"/>
              <w:left w:w="560" w:type="dxa"/>
              <w:bottom w:w="40" w:type="dxa"/>
              <w:right w:w="40" w:type="dxa"/>
            </w:tcMar>
            <w:vAlign w:val="bottom"/>
          </w:tcPr>
          <w:p w14:paraId="3750E020"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CCG Notebook platform</w:t>
            </w:r>
          </w:p>
        </w:tc>
        <w:tc>
          <w:tcPr>
            <w:tcW w:w="0" w:type="auto"/>
            <w:shd w:val="clear" w:color="auto" w:fill="auto"/>
            <w:tcMar>
              <w:top w:w="40" w:type="dxa"/>
              <w:left w:w="40" w:type="dxa"/>
              <w:bottom w:w="40" w:type="dxa"/>
              <w:right w:w="40" w:type="dxa"/>
            </w:tcMar>
            <w:vAlign w:val="bottom"/>
          </w:tcPr>
          <w:p w14:paraId="3750E02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022"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5,857</w:t>
            </w:r>
          </w:p>
        </w:tc>
        <w:tc>
          <w:tcPr>
            <w:tcW w:w="0" w:type="auto"/>
            <w:shd w:val="clear" w:color="auto" w:fill="auto"/>
            <w:vAlign w:val="bottom"/>
          </w:tcPr>
          <w:p w14:paraId="3750E02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02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025"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4,926</w:t>
            </w:r>
          </w:p>
        </w:tc>
        <w:tc>
          <w:tcPr>
            <w:tcW w:w="0" w:type="auto"/>
            <w:shd w:val="clear" w:color="auto" w:fill="auto"/>
            <w:vAlign w:val="bottom"/>
          </w:tcPr>
          <w:p w14:paraId="3750E026" w14:textId="77777777" w:rsidR="002541AD" w:rsidRDefault="002541AD">
            <w:pPr>
              <w:textAlignment w:val="bottom"/>
              <w:rPr>
                <w:rFonts w:ascii="Times New Roman" w:hAnsi="Times New Roman"/>
                <w:sz w:val="20"/>
                <w:szCs w:val="20"/>
              </w:rPr>
            </w:pPr>
          </w:p>
        </w:tc>
      </w:tr>
      <w:tr w:rsidR="002541AD" w14:paraId="3750E02F" w14:textId="77777777">
        <w:tc>
          <w:tcPr>
            <w:tcW w:w="0" w:type="auto"/>
            <w:shd w:val="clear" w:color="auto" w:fill="auto"/>
            <w:tcMar>
              <w:top w:w="40" w:type="dxa"/>
              <w:left w:w="560" w:type="dxa"/>
              <w:bottom w:w="40" w:type="dxa"/>
              <w:right w:w="40" w:type="dxa"/>
            </w:tcMar>
            <w:vAlign w:val="bottom"/>
          </w:tcPr>
          <w:p w14:paraId="3750E028"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xml:space="preserve">CCG other </w:t>
            </w:r>
            <w:r>
              <w:rPr>
                <w:rFonts w:ascii="Arial" w:eastAsia="宋体" w:hAnsi="Arial" w:cs="Arial"/>
                <w:color w:val="333333"/>
                <w:sz w:val="18"/>
                <w:szCs w:val="18"/>
              </w:rPr>
              <w:t>platform</w:t>
            </w:r>
            <w:r>
              <w:rPr>
                <w:rFonts w:ascii="Arial" w:eastAsia="宋体" w:hAnsi="Arial" w:cs="Arial"/>
                <w:color w:val="333333"/>
                <w:sz w:val="12"/>
                <w:szCs w:val="12"/>
              </w:rPr>
              <w:t>1</w:t>
            </w:r>
          </w:p>
        </w:tc>
        <w:tc>
          <w:tcPr>
            <w:tcW w:w="0" w:type="auto"/>
            <w:shd w:val="clear" w:color="auto" w:fill="auto"/>
            <w:tcMar>
              <w:top w:w="40" w:type="dxa"/>
              <w:left w:w="40" w:type="dxa"/>
              <w:bottom w:w="40" w:type="dxa"/>
              <w:right w:w="40" w:type="dxa"/>
            </w:tcMar>
            <w:vAlign w:val="bottom"/>
          </w:tcPr>
          <w:p w14:paraId="3750E02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02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15</w:t>
            </w:r>
          </w:p>
        </w:tc>
        <w:tc>
          <w:tcPr>
            <w:tcW w:w="0" w:type="auto"/>
            <w:shd w:val="clear" w:color="auto" w:fill="auto"/>
            <w:vAlign w:val="bottom"/>
          </w:tcPr>
          <w:p w14:paraId="3750E02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02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02D"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12</w:t>
            </w:r>
          </w:p>
        </w:tc>
        <w:tc>
          <w:tcPr>
            <w:tcW w:w="0" w:type="auto"/>
            <w:shd w:val="clear" w:color="auto" w:fill="auto"/>
            <w:vAlign w:val="bottom"/>
          </w:tcPr>
          <w:p w14:paraId="3750E02E" w14:textId="77777777" w:rsidR="002541AD" w:rsidRDefault="002541AD">
            <w:pPr>
              <w:textAlignment w:val="bottom"/>
              <w:rPr>
                <w:rFonts w:ascii="Times New Roman" w:hAnsi="Times New Roman"/>
                <w:sz w:val="20"/>
                <w:szCs w:val="20"/>
              </w:rPr>
            </w:pPr>
          </w:p>
        </w:tc>
      </w:tr>
      <w:tr w:rsidR="002541AD" w14:paraId="3750E037" w14:textId="77777777">
        <w:tc>
          <w:tcPr>
            <w:tcW w:w="0" w:type="auto"/>
            <w:shd w:val="clear" w:color="auto" w:fill="auto"/>
            <w:tcMar>
              <w:top w:w="40" w:type="dxa"/>
              <w:left w:w="40" w:type="dxa"/>
              <w:bottom w:w="40" w:type="dxa"/>
              <w:right w:w="40" w:type="dxa"/>
            </w:tcMar>
            <w:vAlign w:val="bottom"/>
          </w:tcPr>
          <w:p w14:paraId="3750E03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03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3750E032"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15,934</w:t>
            </w:r>
          </w:p>
        </w:tc>
        <w:tc>
          <w:tcPr>
            <w:tcW w:w="0" w:type="auto"/>
            <w:tcBorders>
              <w:top w:val="single" w:sz="8" w:space="0" w:color="333333"/>
            </w:tcBorders>
            <w:shd w:val="clear" w:color="auto" w:fill="auto"/>
            <w:vAlign w:val="bottom"/>
          </w:tcPr>
          <w:p w14:paraId="3750E03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03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3750E035"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13,131</w:t>
            </w:r>
          </w:p>
        </w:tc>
        <w:tc>
          <w:tcPr>
            <w:tcW w:w="0" w:type="auto"/>
            <w:tcBorders>
              <w:top w:val="single" w:sz="8" w:space="0" w:color="333333"/>
            </w:tcBorders>
            <w:shd w:val="clear" w:color="auto" w:fill="auto"/>
            <w:vAlign w:val="bottom"/>
          </w:tcPr>
          <w:p w14:paraId="3750E036" w14:textId="77777777" w:rsidR="002541AD" w:rsidRDefault="002541AD">
            <w:pPr>
              <w:textAlignment w:val="bottom"/>
              <w:rPr>
                <w:rFonts w:ascii="Times New Roman" w:hAnsi="Times New Roman"/>
                <w:sz w:val="20"/>
                <w:szCs w:val="20"/>
              </w:rPr>
            </w:pPr>
          </w:p>
        </w:tc>
      </w:tr>
      <w:tr w:rsidR="002541AD" w14:paraId="3750E03D" w14:textId="77777777">
        <w:tc>
          <w:tcPr>
            <w:tcW w:w="0" w:type="auto"/>
            <w:shd w:val="clear" w:color="auto" w:fill="auto"/>
            <w:tcMar>
              <w:top w:w="40" w:type="dxa"/>
              <w:left w:w="40" w:type="dxa"/>
              <w:bottom w:w="40" w:type="dxa"/>
              <w:right w:w="40" w:type="dxa"/>
            </w:tcMar>
            <w:vAlign w:val="bottom"/>
          </w:tcPr>
          <w:p w14:paraId="3750E03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03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03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03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03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045" w14:textId="77777777">
        <w:tc>
          <w:tcPr>
            <w:tcW w:w="0" w:type="auto"/>
            <w:shd w:val="clear" w:color="auto" w:fill="auto"/>
            <w:tcMar>
              <w:top w:w="40" w:type="dxa"/>
              <w:left w:w="240" w:type="dxa"/>
              <w:bottom w:w="40" w:type="dxa"/>
              <w:right w:w="40" w:type="dxa"/>
            </w:tcMar>
            <w:vAlign w:val="bottom"/>
          </w:tcPr>
          <w:p w14:paraId="3750E03E"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Adjacent revenue</w:t>
            </w:r>
            <w:r>
              <w:rPr>
                <w:rFonts w:ascii="Arial" w:eastAsia="宋体" w:hAnsi="Arial" w:cs="Arial"/>
                <w:b/>
                <w:bCs/>
                <w:color w:val="333333"/>
                <w:sz w:val="12"/>
                <w:szCs w:val="12"/>
              </w:rPr>
              <w:t>2</w:t>
            </w:r>
          </w:p>
        </w:tc>
        <w:tc>
          <w:tcPr>
            <w:tcW w:w="0" w:type="auto"/>
            <w:shd w:val="clear" w:color="auto" w:fill="auto"/>
            <w:tcMar>
              <w:top w:w="40" w:type="dxa"/>
              <w:left w:w="40" w:type="dxa"/>
              <w:bottom w:w="40" w:type="dxa"/>
              <w:right w:w="40" w:type="dxa"/>
            </w:tcMar>
            <w:vAlign w:val="bottom"/>
          </w:tcPr>
          <w:p w14:paraId="3750E03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040"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3,894</w:t>
            </w:r>
          </w:p>
        </w:tc>
        <w:tc>
          <w:tcPr>
            <w:tcW w:w="0" w:type="auto"/>
            <w:shd w:val="clear" w:color="auto" w:fill="auto"/>
            <w:vAlign w:val="bottom"/>
          </w:tcPr>
          <w:p w14:paraId="3750E04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04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043"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2,930</w:t>
            </w:r>
          </w:p>
        </w:tc>
        <w:tc>
          <w:tcPr>
            <w:tcW w:w="0" w:type="auto"/>
            <w:shd w:val="clear" w:color="auto" w:fill="auto"/>
            <w:vAlign w:val="bottom"/>
          </w:tcPr>
          <w:p w14:paraId="3750E044" w14:textId="77777777" w:rsidR="002541AD" w:rsidRDefault="002541AD">
            <w:pPr>
              <w:textAlignment w:val="bottom"/>
              <w:rPr>
                <w:rFonts w:ascii="Times New Roman" w:hAnsi="Times New Roman"/>
                <w:sz w:val="20"/>
                <w:szCs w:val="20"/>
              </w:rPr>
            </w:pPr>
          </w:p>
        </w:tc>
      </w:tr>
      <w:tr w:rsidR="002541AD" w14:paraId="3750E04F" w14:textId="77777777">
        <w:tc>
          <w:tcPr>
            <w:tcW w:w="0" w:type="auto"/>
            <w:shd w:val="clear" w:color="auto" w:fill="auto"/>
            <w:tcMar>
              <w:top w:w="40" w:type="dxa"/>
              <w:left w:w="40" w:type="dxa"/>
              <w:bottom w:w="40" w:type="dxa"/>
              <w:right w:w="40" w:type="dxa"/>
            </w:tcMar>
            <w:vAlign w:val="bottom"/>
          </w:tcPr>
          <w:p w14:paraId="3750E046"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Total revenue</w:t>
            </w:r>
          </w:p>
        </w:tc>
        <w:tc>
          <w:tcPr>
            <w:tcW w:w="0" w:type="auto"/>
            <w:shd w:val="clear" w:color="auto" w:fill="auto"/>
            <w:tcMar>
              <w:top w:w="40" w:type="dxa"/>
              <w:left w:w="40" w:type="dxa"/>
              <w:bottom w:w="40" w:type="dxa"/>
              <w:right w:w="40" w:type="dxa"/>
            </w:tcMar>
            <w:vAlign w:val="bottom"/>
          </w:tcPr>
          <w:p w14:paraId="3750E04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048"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049"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19,828</w:t>
            </w:r>
          </w:p>
        </w:tc>
        <w:tc>
          <w:tcPr>
            <w:tcW w:w="0" w:type="auto"/>
            <w:tcBorders>
              <w:top w:val="single" w:sz="8" w:space="0" w:color="333333"/>
              <w:bottom w:val="double" w:sz="6" w:space="0" w:color="333333"/>
            </w:tcBorders>
            <w:shd w:val="clear" w:color="auto" w:fill="auto"/>
            <w:vAlign w:val="bottom"/>
          </w:tcPr>
          <w:p w14:paraId="3750E04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04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04C"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04D"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16,061</w:t>
            </w:r>
          </w:p>
        </w:tc>
        <w:tc>
          <w:tcPr>
            <w:tcW w:w="0" w:type="auto"/>
            <w:tcBorders>
              <w:top w:val="single" w:sz="8" w:space="0" w:color="333333"/>
              <w:bottom w:val="double" w:sz="6" w:space="0" w:color="333333"/>
            </w:tcBorders>
            <w:shd w:val="clear" w:color="auto" w:fill="auto"/>
            <w:vAlign w:val="bottom"/>
          </w:tcPr>
          <w:p w14:paraId="3750E04E" w14:textId="77777777" w:rsidR="002541AD" w:rsidRDefault="002541AD">
            <w:pPr>
              <w:textAlignment w:val="bottom"/>
              <w:rPr>
                <w:rFonts w:ascii="Times New Roman" w:hAnsi="Times New Roman"/>
                <w:sz w:val="20"/>
                <w:szCs w:val="20"/>
              </w:rPr>
            </w:pPr>
          </w:p>
        </w:tc>
      </w:tr>
    </w:tbl>
    <w:p w14:paraId="3750E050" w14:textId="77777777" w:rsidR="002541AD" w:rsidRDefault="002541AD">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460"/>
      </w:tblGrid>
      <w:tr w:rsidR="002541AD" w14:paraId="3750E053" w14:textId="77777777">
        <w:trPr>
          <w:tblCellSpacing w:w="0" w:type="dxa"/>
        </w:trPr>
        <w:tc>
          <w:tcPr>
            <w:tcW w:w="720" w:type="dxa"/>
            <w:shd w:val="clear" w:color="auto" w:fill="auto"/>
            <w:vAlign w:val="center"/>
          </w:tcPr>
          <w:p w14:paraId="3750E051" w14:textId="77777777" w:rsidR="002541AD" w:rsidRDefault="002541AD">
            <w:pPr>
              <w:rPr>
                <w:rFonts w:ascii="Times New Roman" w:hAnsi="Times New Roman"/>
                <w:sz w:val="20"/>
                <w:szCs w:val="20"/>
              </w:rPr>
            </w:pPr>
          </w:p>
        </w:tc>
        <w:tc>
          <w:tcPr>
            <w:tcW w:w="0" w:type="auto"/>
            <w:shd w:val="clear" w:color="auto" w:fill="auto"/>
            <w:vAlign w:val="center"/>
          </w:tcPr>
          <w:p w14:paraId="3750E052" w14:textId="77777777" w:rsidR="002541AD" w:rsidRDefault="002541AD">
            <w:pPr>
              <w:rPr>
                <w:rFonts w:ascii="Times New Roman" w:hAnsi="Times New Roman"/>
                <w:sz w:val="20"/>
                <w:szCs w:val="20"/>
              </w:rPr>
            </w:pPr>
          </w:p>
        </w:tc>
      </w:tr>
      <w:tr w:rsidR="002541AD" w14:paraId="3750E056" w14:textId="77777777">
        <w:trPr>
          <w:tblCellSpacing w:w="0" w:type="dxa"/>
        </w:trPr>
        <w:tc>
          <w:tcPr>
            <w:tcW w:w="0" w:type="auto"/>
            <w:shd w:val="clear" w:color="auto" w:fill="auto"/>
          </w:tcPr>
          <w:p w14:paraId="3750E054"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0"/>
                <w:szCs w:val="10"/>
              </w:rPr>
              <w:t>1</w:t>
            </w:r>
            <w:r>
              <w:rPr>
                <w:rFonts w:ascii="Arial" w:eastAsia="宋体" w:hAnsi="Arial" w:cs="Arial"/>
                <w:i/>
                <w:iCs/>
                <w:color w:val="333333"/>
                <w:sz w:val="16"/>
                <w:szCs w:val="16"/>
              </w:rPr>
              <w:t> </w:t>
            </w:r>
          </w:p>
        </w:tc>
        <w:tc>
          <w:tcPr>
            <w:tcW w:w="0" w:type="auto"/>
            <w:shd w:val="clear" w:color="auto" w:fill="auto"/>
          </w:tcPr>
          <w:p w14:paraId="3750E055"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6"/>
                <w:szCs w:val="16"/>
              </w:rPr>
              <w:t>Includes our tablet and service provider revenue.</w:t>
            </w:r>
          </w:p>
        </w:tc>
      </w:tr>
    </w:tbl>
    <w:p w14:paraId="3750E057" w14:textId="77777777" w:rsidR="002541AD" w:rsidRDefault="002541AD">
      <w:pPr>
        <w:rPr>
          <w:vanish/>
        </w:rPr>
      </w:pPr>
    </w:p>
    <w:tbl>
      <w:tblPr>
        <w:tblW w:w="0" w:type="auto"/>
        <w:tblCellSpacing w:w="0" w:type="dxa"/>
        <w:tblCellMar>
          <w:left w:w="0" w:type="dxa"/>
          <w:bottom w:w="400" w:type="dxa"/>
          <w:right w:w="0" w:type="dxa"/>
        </w:tblCellMar>
        <w:tblLook w:val="04A0" w:firstRow="1" w:lastRow="0" w:firstColumn="1" w:lastColumn="0" w:noHBand="0" w:noVBand="1"/>
      </w:tblPr>
      <w:tblGrid>
        <w:gridCol w:w="720"/>
        <w:gridCol w:w="7586"/>
      </w:tblGrid>
      <w:tr w:rsidR="002541AD" w14:paraId="3750E05A" w14:textId="77777777">
        <w:trPr>
          <w:tblCellSpacing w:w="0" w:type="dxa"/>
        </w:trPr>
        <w:tc>
          <w:tcPr>
            <w:tcW w:w="720" w:type="dxa"/>
            <w:shd w:val="clear" w:color="auto" w:fill="auto"/>
            <w:vAlign w:val="center"/>
          </w:tcPr>
          <w:p w14:paraId="3750E058" w14:textId="77777777" w:rsidR="002541AD" w:rsidRDefault="002541AD">
            <w:pPr>
              <w:rPr>
                <w:rFonts w:ascii="Times New Roman" w:hAnsi="Times New Roman"/>
                <w:sz w:val="20"/>
                <w:szCs w:val="20"/>
              </w:rPr>
            </w:pPr>
          </w:p>
        </w:tc>
        <w:tc>
          <w:tcPr>
            <w:tcW w:w="0" w:type="auto"/>
            <w:shd w:val="clear" w:color="auto" w:fill="auto"/>
            <w:vAlign w:val="center"/>
          </w:tcPr>
          <w:p w14:paraId="3750E059" w14:textId="77777777" w:rsidR="002541AD" w:rsidRDefault="002541AD">
            <w:pPr>
              <w:rPr>
                <w:rFonts w:ascii="Times New Roman" w:hAnsi="Times New Roman"/>
                <w:sz w:val="20"/>
                <w:szCs w:val="20"/>
              </w:rPr>
            </w:pPr>
          </w:p>
        </w:tc>
      </w:tr>
      <w:tr w:rsidR="002541AD" w14:paraId="3750E05D" w14:textId="77777777">
        <w:trPr>
          <w:tblCellSpacing w:w="0" w:type="dxa"/>
        </w:trPr>
        <w:tc>
          <w:tcPr>
            <w:tcW w:w="0" w:type="auto"/>
            <w:shd w:val="clear" w:color="auto" w:fill="auto"/>
          </w:tcPr>
          <w:p w14:paraId="3750E05B"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0"/>
                <w:szCs w:val="10"/>
              </w:rPr>
              <w:t>2</w:t>
            </w:r>
            <w:r>
              <w:rPr>
                <w:rFonts w:ascii="Arial" w:eastAsia="宋体" w:hAnsi="Arial" w:cs="Arial"/>
                <w:i/>
                <w:iCs/>
                <w:color w:val="333333"/>
                <w:sz w:val="16"/>
                <w:szCs w:val="16"/>
              </w:rPr>
              <w:t> </w:t>
            </w:r>
          </w:p>
        </w:tc>
        <w:tc>
          <w:tcPr>
            <w:tcW w:w="0" w:type="auto"/>
            <w:shd w:val="clear" w:color="auto" w:fill="auto"/>
          </w:tcPr>
          <w:p w14:paraId="3750E05C"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Includes all of our non-platform products for DCG, </w:t>
            </w:r>
            <w:r>
              <w:rPr>
                <w:rFonts w:ascii="Arial" w:eastAsia="宋体" w:hAnsi="Arial" w:cs="Arial"/>
                <w:i/>
                <w:iCs/>
                <w:color w:val="333333"/>
                <w:sz w:val="16"/>
                <w:szCs w:val="16"/>
              </w:rPr>
              <w:t>IOTG, and CCG such as modem, Ethernet, and silicon photonics, as well as Mobileye, NSG, and PSG products.</w:t>
            </w:r>
          </w:p>
        </w:tc>
      </w:tr>
    </w:tbl>
    <w:p w14:paraId="3750E05E" w14:textId="77777777" w:rsidR="002541AD" w:rsidRDefault="00901AA6">
      <w:pPr>
        <w:spacing w:line="288" w:lineRule="auto"/>
        <w:rPr>
          <w:rFonts w:ascii="Times New Roman" w:hAnsi="Times New Roman"/>
          <w:sz w:val="20"/>
          <w:szCs w:val="20"/>
        </w:rPr>
      </w:pPr>
      <w:r>
        <w:rPr>
          <w:rFonts w:ascii="Arial" w:eastAsia="宋体" w:hAnsi="Arial" w:cs="Arial"/>
          <w:b/>
          <w:bCs/>
          <w:color w:val="333333"/>
          <w:sz w:val="20"/>
          <w:szCs w:val="20"/>
        </w:rPr>
        <w:t>Planned Divestiture of our Home Gateway Platform Division</w:t>
      </w:r>
    </w:p>
    <w:p w14:paraId="3750E05F"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We signed a definitive agreement on April 5, 2020 to sell the majority of Home Gateway Plat</w:t>
      </w:r>
      <w:r>
        <w:rPr>
          <w:rFonts w:ascii="Arial" w:eastAsia="宋体" w:hAnsi="Arial" w:cs="Arial"/>
          <w:color w:val="333333"/>
          <w:sz w:val="18"/>
          <w:szCs w:val="18"/>
        </w:rPr>
        <w:t>form, a division of CCG. The transaction contemplates the transfer of certain employees, equipment, and an on-going supply agreement for future units. We reclassified the assets and liabilities as held-for-sale within other current assets/liabilities. We e</w:t>
      </w:r>
      <w:r>
        <w:rPr>
          <w:rFonts w:ascii="Arial" w:eastAsia="宋体" w:hAnsi="Arial" w:cs="Arial"/>
          <w:color w:val="333333"/>
          <w:sz w:val="18"/>
          <w:szCs w:val="18"/>
        </w:rPr>
        <w:t xml:space="preserve">xpect to close the transaction in the third quarter of 2020. </w:t>
      </w:r>
    </w:p>
    <w:tbl>
      <w:tblPr>
        <w:tblW w:w="5000" w:type="pct"/>
        <w:tblCellMar>
          <w:left w:w="0" w:type="dxa"/>
          <w:right w:w="0" w:type="dxa"/>
        </w:tblCellMar>
        <w:tblLook w:val="04A0" w:firstRow="1" w:lastRow="0" w:firstColumn="1" w:lastColumn="0" w:noHBand="0" w:noVBand="1"/>
      </w:tblPr>
      <w:tblGrid>
        <w:gridCol w:w="1080"/>
        <w:gridCol w:w="7226"/>
      </w:tblGrid>
      <w:tr w:rsidR="002541AD" w14:paraId="3750E061" w14:textId="77777777">
        <w:tc>
          <w:tcPr>
            <w:tcW w:w="0" w:type="auto"/>
            <w:gridSpan w:val="2"/>
            <w:shd w:val="clear" w:color="auto" w:fill="auto"/>
            <w:vAlign w:val="center"/>
          </w:tcPr>
          <w:p w14:paraId="3750E060" w14:textId="77777777" w:rsidR="002541AD" w:rsidRDefault="002541AD">
            <w:pPr>
              <w:rPr>
                <w:rFonts w:ascii="Times New Roman" w:hAnsi="Times New Roman"/>
                <w:sz w:val="20"/>
                <w:szCs w:val="20"/>
              </w:rPr>
            </w:pPr>
          </w:p>
        </w:tc>
      </w:tr>
      <w:tr w:rsidR="002541AD" w14:paraId="3750E064" w14:textId="77777777">
        <w:tc>
          <w:tcPr>
            <w:tcW w:w="650" w:type="pct"/>
            <w:shd w:val="clear" w:color="auto" w:fill="auto"/>
            <w:vAlign w:val="center"/>
          </w:tcPr>
          <w:p w14:paraId="3750E062" w14:textId="77777777" w:rsidR="002541AD" w:rsidRDefault="002541AD">
            <w:pPr>
              <w:rPr>
                <w:rFonts w:ascii="Times New Roman" w:hAnsi="Times New Roman"/>
                <w:sz w:val="20"/>
                <w:szCs w:val="20"/>
              </w:rPr>
            </w:pPr>
          </w:p>
        </w:tc>
        <w:tc>
          <w:tcPr>
            <w:tcW w:w="4350" w:type="pct"/>
            <w:shd w:val="clear" w:color="auto" w:fill="auto"/>
            <w:vAlign w:val="center"/>
          </w:tcPr>
          <w:p w14:paraId="3750E063" w14:textId="77777777" w:rsidR="002541AD" w:rsidRDefault="002541AD">
            <w:pPr>
              <w:rPr>
                <w:rFonts w:ascii="Times New Roman" w:hAnsi="Times New Roman"/>
                <w:sz w:val="20"/>
                <w:szCs w:val="20"/>
              </w:rPr>
            </w:pPr>
          </w:p>
        </w:tc>
      </w:tr>
      <w:tr w:rsidR="002541AD" w14:paraId="3750E067"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3750E065"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3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E066" w14:textId="77777777" w:rsidR="002541AD" w:rsidRDefault="00901AA6">
            <w:pPr>
              <w:textAlignment w:val="bottom"/>
              <w:rPr>
                <w:rFonts w:ascii="Times New Roman" w:hAnsi="Times New Roman"/>
                <w:sz w:val="28"/>
                <w:szCs w:val="28"/>
              </w:rPr>
            </w:pPr>
            <w:r>
              <w:rPr>
                <w:rFonts w:ascii="Arial" w:eastAsia="宋体" w:hAnsi="Arial" w:cs="Arial"/>
                <w:b/>
                <w:bCs/>
                <w:color w:val="0071C5"/>
                <w:sz w:val="28"/>
                <w:szCs w:val="28"/>
              </w:rPr>
              <w:t>EARNINGS PER SHARE</w:t>
            </w:r>
          </w:p>
        </w:tc>
      </w:tr>
    </w:tbl>
    <w:p w14:paraId="3750E068" w14:textId="77777777" w:rsidR="002541AD" w:rsidRDefault="002541AD">
      <w:pPr>
        <w:spacing w:line="288" w:lineRule="auto"/>
        <w:rPr>
          <w:rFonts w:ascii="Times New Roman" w:hAnsi="Times New Roman"/>
          <w:sz w:val="28"/>
          <w:szCs w:val="28"/>
        </w:rPr>
      </w:pPr>
    </w:p>
    <w:p w14:paraId="3750E069" w14:textId="77777777" w:rsidR="002541AD" w:rsidRDefault="00901AA6">
      <w:pPr>
        <w:spacing w:line="288" w:lineRule="auto"/>
        <w:rPr>
          <w:rFonts w:ascii="Times New Roman" w:hAnsi="Times New Roman"/>
          <w:sz w:val="20"/>
          <w:szCs w:val="20"/>
        </w:rPr>
      </w:pPr>
      <w:r>
        <w:rPr>
          <w:rFonts w:ascii="Arial" w:eastAsia="宋体" w:hAnsi="Arial" w:cs="Arial"/>
          <w:color w:val="333333"/>
          <w:sz w:val="18"/>
          <w:szCs w:val="18"/>
        </w:rPr>
        <w:t>We computed basic earnings per share of common stock based on the weighted average number of shares of common stock outstanding during the period. We computed diluted earnings per share of common stock based on the weighted average number of shares of comm</w:t>
      </w:r>
      <w:r>
        <w:rPr>
          <w:rFonts w:ascii="Arial" w:eastAsia="宋体" w:hAnsi="Arial" w:cs="Arial"/>
          <w:color w:val="333333"/>
          <w:sz w:val="18"/>
          <w:szCs w:val="18"/>
        </w:rPr>
        <w:t xml:space="preserve">on stock outstanding plus potentially dilutive shares of common stock outstanding during the period. </w:t>
      </w:r>
    </w:p>
    <w:tbl>
      <w:tblPr>
        <w:tblW w:w="5000" w:type="pct"/>
        <w:tblCellMar>
          <w:left w:w="0" w:type="dxa"/>
          <w:right w:w="0" w:type="dxa"/>
        </w:tblCellMar>
        <w:tblLook w:val="04A0" w:firstRow="1" w:lastRow="0" w:firstColumn="1" w:lastColumn="0" w:noHBand="0" w:noVBand="1"/>
      </w:tblPr>
      <w:tblGrid>
        <w:gridCol w:w="6262"/>
        <w:gridCol w:w="130"/>
        <w:gridCol w:w="142"/>
        <w:gridCol w:w="698"/>
        <w:gridCol w:w="63"/>
        <w:gridCol w:w="130"/>
        <w:gridCol w:w="142"/>
        <w:gridCol w:w="676"/>
        <w:gridCol w:w="63"/>
      </w:tblGrid>
      <w:tr w:rsidR="002541AD" w14:paraId="3750E06B" w14:textId="77777777">
        <w:tc>
          <w:tcPr>
            <w:tcW w:w="0" w:type="auto"/>
            <w:gridSpan w:val="9"/>
            <w:shd w:val="clear" w:color="auto" w:fill="auto"/>
            <w:vAlign w:val="center"/>
          </w:tcPr>
          <w:p w14:paraId="3750E06A" w14:textId="77777777" w:rsidR="002541AD" w:rsidRDefault="002541AD">
            <w:pPr>
              <w:rPr>
                <w:rFonts w:ascii="Times New Roman" w:hAnsi="Times New Roman"/>
                <w:sz w:val="20"/>
                <w:szCs w:val="20"/>
              </w:rPr>
            </w:pPr>
          </w:p>
        </w:tc>
      </w:tr>
      <w:tr w:rsidR="002541AD" w14:paraId="3750E075" w14:textId="77777777">
        <w:tc>
          <w:tcPr>
            <w:tcW w:w="3800" w:type="pct"/>
            <w:shd w:val="clear" w:color="auto" w:fill="auto"/>
            <w:vAlign w:val="center"/>
          </w:tcPr>
          <w:p w14:paraId="3750E06C" w14:textId="77777777" w:rsidR="002541AD" w:rsidRDefault="002541AD">
            <w:pPr>
              <w:rPr>
                <w:rFonts w:ascii="Times New Roman" w:hAnsi="Times New Roman"/>
                <w:sz w:val="20"/>
                <w:szCs w:val="20"/>
              </w:rPr>
            </w:pPr>
          </w:p>
        </w:tc>
        <w:tc>
          <w:tcPr>
            <w:tcW w:w="50" w:type="pct"/>
            <w:shd w:val="clear" w:color="auto" w:fill="auto"/>
            <w:vAlign w:val="center"/>
          </w:tcPr>
          <w:p w14:paraId="3750E06D" w14:textId="77777777" w:rsidR="002541AD" w:rsidRDefault="002541AD">
            <w:pPr>
              <w:rPr>
                <w:rFonts w:ascii="Times New Roman" w:hAnsi="Times New Roman"/>
                <w:sz w:val="20"/>
                <w:szCs w:val="20"/>
              </w:rPr>
            </w:pPr>
          </w:p>
        </w:tc>
        <w:tc>
          <w:tcPr>
            <w:tcW w:w="50" w:type="pct"/>
            <w:shd w:val="clear" w:color="auto" w:fill="auto"/>
            <w:vAlign w:val="center"/>
          </w:tcPr>
          <w:p w14:paraId="3750E06E" w14:textId="77777777" w:rsidR="002541AD" w:rsidRDefault="002541AD">
            <w:pPr>
              <w:rPr>
                <w:rFonts w:ascii="Times New Roman" w:hAnsi="Times New Roman"/>
                <w:sz w:val="20"/>
                <w:szCs w:val="20"/>
              </w:rPr>
            </w:pPr>
          </w:p>
        </w:tc>
        <w:tc>
          <w:tcPr>
            <w:tcW w:w="450" w:type="pct"/>
            <w:shd w:val="clear" w:color="auto" w:fill="auto"/>
            <w:vAlign w:val="center"/>
          </w:tcPr>
          <w:p w14:paraId="3750E06F" w14:textId="77777777" w:rsidR="002541AD" w:rsidRDefault="002541AD">
            <w:pPr>
              <w:rPr>
                <w:rFonts w:ascii="Times New Roman" w:hAnsi="Times New Roman"/>
                <w:sz w:val="20"/>
                <w:szCs w:val="20"/>
              </w:rPr>
            </w:pPr>
          </w:p>
        </w:tc>
        <w:tc>
          <w:tcPr>
            <w:tcW w:w="50" w:type="pct"/>
            <w:shd w:val="clear" w:color="auto" w:fill="auto"/>
            <w:vAlign w:val="center"/>
          </w:tcPr>
          <w:p w14:paraId="3750E070" w14:textId="77777777" w:rsidR="002541AD" w:rsidRDefault="002541AD">
            <w:pPr>
              <w:rPr>
                <w:rFonts w:ascii="Times New Roman" w:hAnsi="Times New Roman"/>
                <w:sz w:val="20"/>
                <w:szCs w:val="20"/>
              </w:rPr>
            </w:pPr>
          </w:p>
        </w:tc>
        <w:tc>
          <w:tcPr>
            <w:tcW w:w="50" w:type="pct"/>
            <w:shd w:val="clear" w:color="auto" w:fill="auto"/>
            <w:vAlign w:val="center"/>
          </w:tcPr>
          <w:p w14:paraId="3750E071" w14:textId="77777777" w:rsidR="002541AD" w:rsidRDefault="002541AD">
            <w:pPr>
              <w:rPr>
                <w:rFonts w:ascii="Times New Roman" w:hAnsi="Times New Roman"/>
                <w:sz w:val="20"/>
                <w:szCs w:val="20"/>
              </w:rPr>
            </w:pPr>
          </w:p>
        </w:tc>
        <w:tc>
          <w:tcPr>
            <w:tcW w:w="50" w:type="pct"/>
            <w:shd w:val="clear" w:color="auto" w:fill="auto"/>
            <w:vAlign w:val="center"/>
          </w:tcPr>
          <w:p w14:paraId="3750E072" w14:textId="77777777" w:rsidR="002541AD" w:rsidRDefault="002541AD">
            <w:pPr>
              <w:rPr>
                <w:rFonts w:ascii="Times New Roman" w:hAnsi="Times New Roman"/>
                <w:sz w:val="20"/>
                <w:szCs w:val="20"/>
              </w:rPr>
            </w:pPr>
          </w:p>
        </w:tc>
        <w:tc>
          <w:tcPr>
            <w:tcW w:w="450" w:type="pct"/>
            <w:shd w:val="clear" w:color="auto" w:fill="auto"/>
            <w:vAlign w:val="center"/>
          </w:tcPr>
          <w:p w14:paraId="3750E073" w14:textId="77777777" w:rsidR="002541AD" w:rsidRDefault="002541AD">
            <w:pPr>
              <w:rPr>
                <w:rFonts w:ascii="Times New Roman" w:hAnsi="Times New Roman"/>
                <w:sz w:val="20"/>
                <w:szCs w:val="20"/>
              </w:rPr>
            </w:pPr>
          </w:p>
        </w:tc>
        <w:tc>
          <w:tcPr>
            <w:tcW w:w="50" w:type="pct"/>
            <w:shd w:val="clear" w:color="auto" w:fill="auto"/>
            <w:vAlign w:val="center"/>
          </w:tcPr>
          <w:p w14:paraId="3750E074" w14:textId="77777777" w:rsidR="002541AD" w:rsidRDefault="002541AD">
            <w:pPr>
              <w:rPr>
                <w:rFonts w:ascii="Times New Roman" w:hAnsi="Times New Roman"/>
                <w:sz w:val="20"/>
                <w:szCs w:val="20"/>
              </w:rPr>
            </w:pPr>
          </w:p>
        </w:tc>
      </w:tr>
      <w:tr w:rsidR="002541AD" w14:paraId="3750E079" w14:textId="77777777">
        <w:tc>
          <w:tcPr>
            <w:tcW w:w="0" w:type="auto"/>
            <w:shd w:val="clear" w:color="auto" w:fill="auto"/>
            <w:tcMar>
              <w:top w:w="40" w:type="dxa"/>
              <w:left w:w="40" w:type="dxa"/>
              <w:bottom w:w="40" w:type="dxa"/>
              <w:right w:w="40" w:type="dxa"/>
            </w:tcMar>
            <w:vAlign w:val="bottom"/>
          </w:tcPr>
          <w:p w14:paraId="3750E076" w14:textId="77777777" w:rsidR="002541AD" w:rsidRDefault="00901AA6">
            <w:pPr>
              <w:ind w:hanging="240"/>
              <w:textAlignment w:val="bottom"/>
              <w:rPr>
                <w:rFonts w:ascii="Times New Roman" w:hAnsi="Times New Roman"/>
                <w:sz w:val="16"/>
                <w:szCs w:val="16"/>
              </w:rPr>
            </w:pPr>
            <w:r>
              <w:rPr>
                <w:rFonts w:ascii="Arial" w:eastAsia="宋体" w:hAnsi="Arial" w:cs="Arial"/>
                <w:color w:val="333333"/>
                <w:sz w:val="16"/>
                <w:szCs w:val="16"/>
              </w:rPr>
              <w:t> </w:t>
            </w:r>
          </w:p>
        </w:tc>
        <w:tc>
          <w:tcPr>
            <w:tcW w:w="0" w:type="auto"/>
            <w:shd w:val="clear" w:color="auto" w:fill="auto"/>
            <w:tcMar>
              <w:top w:w="40" w:type="dxa"/>
              <w:left w:w="40" w:type="dxa"/>
              <w:bottom w:w="40" w:type="dxa"/>
              <w:right w:w="40" w:type="dxa"/>
            </w:tcMar>
            <w:vAlign w:val="bottom"/>
          </w:tcPr>
          <w:p w14:paraId="3750E07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3750E078"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Three Months Ended</w:t>
            </w:r>
          </w:p>
        </w:tc>
      </w:tr>
      <w:tr w:rsidR="002541AD" w14:paraId="3750E07F"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07A"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(In Millions, Except Per Share Amounts)</w:t>
            </w:r>
          </w:p>
        </w:tc>
        <w:tc>
          <w:tcPr>
            <w:tcW w:w="0" w:type="auto"/>
            <w:shd w:val="clear" w:color="auto" w:fill="auto"/>
            <w:tcMar>
              <w:top w:w="40" w:type="dxa"/>
              <w:left w:w="40" w:type="dxa"/>
              <w:bottom w:w="40" w:type="dxa"/>
              <w:right w:w="40" w:type="dxa"/>
            </w:tcMar>
            <w:vAlign w:val="bottom"/>
          </w:tcPr>
          <w:p w14:paraId="3750E07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07C"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c>
          <w:tcPr>
            <w:tcW w:w="0" w:type="auto"/>
            <w:shd w:val="clear" w:color="auto" w:fill="auto"/>
            <w:tcMar>
              <w:top w:w="40" w:type="dxa"/>
              <w:left w:w="40" w:type="dxa"/>
              <w:bottom w:w="40" w:type="dxa"/>
              <w:right w:w="40" w:type="dxa"/>
            </w:tcMar>
            <w:vAlign w:val="bottom"/>
          </w:tcPr>
          <w:p w14:paraId="3750E07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07E"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30, </w:t>
            </w:r>
            <w:r>
              <w:rPr>
                <w:rFonts w:ascii="Arial" w:eastAsia="宋体" w:hAnsi="Arial" w:cs="Arial"/>
                <w:b/>
                <w:bCs/>
                <w:color w:val="333333"/>
                <w:sz w:val="18"/>
                <w:szCs w:val="18"/>
              </w:rPr>
              <w:br/>
              <w:t>2019</w:t>
            </w:r>
          </w:p>
        </w:tc>
      </w:tr>
      <w:tr w:rsidR="002541AD" w14:paraId="3750E089" w14:textId="77777777">
        <w:tc>
          <w:tcPr>
            <w:tcW w:w="0" w:type="auto"/>
            <w:shd w:val="clear" w:color="auto" w:fill="auto"/>
            <w:tcMar>
              <w:top w:w="40" w:type="dxa"/>
              <w:left w:w="40" w:type="dxa"/>
              <w:bottom w:w="40" w:type="dxa"/>
              <w:right w:w="40" w:type="dxa"/>
            </w:tcMar>
          </w:tcPr>
          <w:p w14:paraId="3750E080"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 xml:space="preserve">Net income available to common </w:t>
            </w:r>
            <w:r>
              <w:rPr>
                <w:rFonts w:ascii="Arial" w:eastAsia="宋体" w:hAnsi="Arial" w:cs="Arial"/>
                <w:b/>
                <w:bCs/>
                <w:color w:val="333333"/>
                <w:sz w:val="18"/>
                <w:szCs w:val="18"/>
              </w:rPr>
              <w:t>stockholders</w:t>
            </w:r>
          </w:p>
        </w:tc>
        <w:tc>
          <w:tcPr>
            <w:tcW w:w="0" w:type="auto"/>
            <w:shd w:val="clear" w:color="auto" w:fill="auto"/>
            <w:tcMar>
              <w:top w:w="40" w:type="dxa"/>
              <w:left w:w="40" w:type="dxa"/>
              <w:bottom w:w="40" w:type="dxa"/>
              <w:right w:w="40" w:type="dxa"/>
            </w:tcMar>
            <w:vAlign w:val="bottom"/>
          </w:tcPr>
          <w:p w14:paraId="3750E08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3750E082"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3750E083"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5,661</w:t>
            </w:r>
          </w:p>
        </w:tc>
        <w:tc>
          <w:tcPr>
            <w:tcW w:w="0" w:type="auto"/>
            <w:tcBorders>
              <w:top w:val="single" w:sz="8" w:space="0" w:color="0071C5"/>
            </w:tcBorders>
            <w:shd w:val="clear" w:color="auto" w:fill="auto"/>
            <w:vAlign w:val="bottom"/>
          </w:tcPr>
          <w:p w14:paraId="3750E08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08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086"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3750E087"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3,974</w:t>
            </w:r>
          </w:p>
        </w:tc>
        <w:tc>
          <w:tcPr>
            <w:tcW w:w="0" w:type="auto"/>
            <w:shd w:val="clear" w:color="auto" w:fill="auto"/>
            <w:vAlign w:val="bottom"/>
          </w:tcPr>
          <w:p w14:paraId="3750E088" w14:textId="77777777" w:rsidR="002541AD" w:rsidRDefault="002541AD">
            <w:pPr>
              <w:textAlignment w:val="bottom"/>
              <w:rPr>
                <w:rFonts w:ascii="Times New Roman" w:hAnsi="Times New Roman"/>
                <w:sz w:val="20"/>
                <w:szCs w:val="20"/>
              </w:rPr>
            </w:pPr>
          </w:p>
        </w:tc>
      </w:tr>
      <w:tr w:rsidR="002541AD" w14:paraId="3750E091" w14:textId="77777777">
        <w:tc>
          <w:tcPr>
            <w:tcW w:w="0" w:type="auto"/>
            <w:shd w:val="clear" w:color="auto" w:fill="auto"/>
            <w:tcMar>
              <w:top w:w="40" w:type="dxa"/>
              <w:left w:w="40" w:type="dxa"/>
              <w:bottom w:w="40" w:type="dxa"/>
              <w:right w:w="40" w:type="dxa"/>
            </w:tcMar>
          </w:tcPr>
          <w:p w14:paraId="3750E08A"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Weighted average shares of common stock outstanding—basic</w:t>
            </w:r>
          </w:p>
        </w:tc>
        <w:tc>
          <w:tcPr>
            <w:tcW w:w="0" w:type="auto"/>
            <w:shd w:val="clear" w:color="auto" w:fill="auto"/>
            <w:tcMar>
              <w:top w:w="40" w:type="dxa"/>
              <w:left w:w="40" w:type="dxa"/>
              <w:bottom w:w="40" w:type="dxa"/>
              <w:right w:w="40" w:type="dxa"/>
            </w:tcMar>
            <w:vAlign w:val="bottom"/>
          </w:tcPr>
          <w:p w14:paraId="3750E08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08C"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4,266</w:t>
            </w:r>
          </w:p>
        </w:tc>
        <w:tc>
          <w:tcPr>
            <w:tcW w:w="0" w:type="auto"/>
            <w:shd w:val="clear" w:color="auto" w:fill="auto"/>
            <w:vAlign w:val="bottom"/>
          </w:tcPr>
          <w:p w14:paraId="3750E08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08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08F"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4,492</w:t>
            </w:r>
          </w:p>
        </w:tc>
        <w:tc>
          <w:tcPr>
            <w:tcW w:w="0" w:type="auto"/>
            <w:shd w:val="clear" w:color="auto" w:fill="auto"/>
            <w:vAlign w:val="bottom"/>
          </w:tcPr>
          <w:p w14:paraId="3750E090" w14:textId="77777777" w:rsidR="002541AD" w:rsidRDefault="002541AD">
            <w:pPr>
              <w:textAlignment w:val="bottom"/>
              <w:rPr>
                <w:rFonts w:ascii="Times New Roman" w:hAnsi="Times New Roman"/>
                <w:sz w:val="20"/>
                <w:szCs w:val="20"/>
              </w:rPr>
            </w:pPr>
          </w:p>
        </w:tc>
      </w:tr>
      <w:tr w:rsidR="002541AD" w14:paraId="3750E099" w14:textId="77777777">
        <w:tc>
          <w:tcPr>
            <w:tcW w:w="0" w:type="auto"/>
            <w:shd w:val="clear" w:color="auto" w:fill="auto"/>
            <w:tcMar>
              <w:top w:w="40" w:type="dxa"/>
              <w:left w:w="40" w:type="dxa"/>
              <w:bottom w:w="40" w:type="dxa"/>
              <w:right w:w="40" w:type="dxa"/>
            </w:tcMar>
          </w:tcPr>
          <w:p w14:paraId="3750E092"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Dilutive effect of employee equity incentive plans</w:t>
            </w:r>
          </w:p>
        </w:tc>
        <w:tc>
          <w:tcPr>
            <w:tcW w:w="0" w:type="auto"/>
            <w:shd w:val="clear" w:color="auto" w:fill="auto"/>
            <w:tcMar>
              <w:top w:w="40" w:type="dxa"/>
              <w:left w:w="40" w:type="dxa"/>
              <w:bottom w:w="40" w:type="dxa"/>
              <w:right w:w="40" w:type="dxa"/>
            </w:tcMar>
            <w:vAlign w:val="bottom"/>
          </w:tcPr>
          <w:p w14:paraId="3750E09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094"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46</w:t>
            </w:r>
          </w:p>
        </w:tc>
        <w:tc>
          <w:tcPr>
            <w:tcW w:w="0" w:type="auto"/>
            <w:shd w:val="clear" w:color="auto" w:fill="auto"/>
            <w:vAlign w:val="bottom"/>
          </w:tcPr>
          <w:p w14:paraId="3750E09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09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097"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53</w:t>
            </w:r>
          </w:p>
        </w:tc>
        <w:tc>
          <w:tcPr>
            <w:tcW w:w="0" w:type="auto"/>
            <w:shd w:val="clear" w:color="auto" w:fill="auto"/>
            <w:vAlign w:val="bottom"/>
          </w:tcPr>
          <w:p w14:paraId="3750E098" w14:textId="77777777" w:rsidR="002541AD" w:rsidRDefault="002541AD">
            <w:pPr>
              <w:textAlignment w:val="bottom"/>
              <w:rPr>
                <w:rFonts w:ascii="Times New Roman" w:hAnsi="Times New Roman"/>
                <w:sz w:val="20"/>
                <w:szCs w:val="20"/>
              </w:rPr>
            </w:pPr>
          </w:p>
        </w:tc>
      </w:tr>
      <w:tr w:rsidR="002541AD" w14:paraId="3750E0A1" w14:textId="77777777">
        <w:tc>
          <w:tcPr>
            <w:tcW w:w="0" w:type="auto"/>
            <w:shd w:val="clear" w:color="auto" w:fill="auto"/>
            <w:tcMar>
              <w:top w:w="40" w:type="dxa"/>
              <w:left w:w="40" w:type="dxa"/>
              <w:bottom w:w="40" w:type="dxa"/>
              <w:right w:w="40" w:type="dxa"/>
            </w:tcMar>
          </w:tcPr>
          <w:p w14:paraId="3750E09A"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Dilutive effect of convertible debt</w:t>
            </w:r>
          </w:p>
        </w:tc>
        <w:tc>
          <w:tcPr>
            <w:tcW w:w="0" w:type="auto"/>
            <w:shd w:val="clear" w:color="auto" w:fill="auto"/>
            <w:tcMar>
              <w:top w:w="40" w:type="dxa"/>
              <w:left w:w="40" w:type="dxa"/>
              <w:bottom w:w="40" w:type="dxa"/>
              <w:right w:w="40" w:type="dxa"/>
            </w:tcMar>
            <w:vAlign w:val="bottom"/>
          </w:tcPr>
          <w:p w14:paraId="3750E09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E09C"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bottom w:val="single" w:sz="8" w:space="0" w:color="333333"/>
            </w:tcBorders>
            <w:shd w:val="clear" w:color="auto" w:fill="auto"/>
            <w:vAlign w:val="bottom"/>
          </w:tcPr>
          <w:p w14:paraId="3750E09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09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E09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19</w:t>
            </w:r>
          </w:p>
        </w:tc>
        <w:tc>
          <w:tcPr>
            <w:tcW w:w="0" w:type="auto"/>
            <w:tcBorders>
              <w:bottom w:val="single" w:sz="8" w:space="0" w:color="333333"/>
            </w:tcBorders>
            <w:shd w:val="clear" w:color="auto" w:fill="auto"/>
            <w:vAlign w:val="bottom"/>
          </w:tcPr>
          <w:p w14:paraId="3750E0A0" w14:textId="77777777" w:rsidR="002541AD" w:rsidRDefault="002541AD">
            <w:pPr>
              <w:textAlignment w:val="bottom"/>
              <w:rPr>
                <w:rFonts w:ascii="Times New Roman" w:hAnsi="Times New Roman"/>
                <w:sz w:val="20"/>
                <w:szCs w:val="20"/>
              </w:rPr>
            </w:pPr>
          </w:p>
        </w:tc>
      </w:tr>
      <w:tr w:rsidR="002541AD" w14:paraId="3750E0A9" w14:textId="77777777">
        <w:tc>
          <w:tcPr>
            <w:tcW w:w="0" w:type="auto"/>
            <w:shd w:val="clear" w:color="auto" w:fill="auto"/>
            <w:tcMar>
              <w:top w:w="40" w:type="dxa"/>
              <w:left w:w="40" w:type="dxa"/>
              <w:bottom w:w="40" w:type="dxa"/>
              <w:right w:w="40" w:type="dxa"/>
            </w:tcMar>
          </w:tcPr>
          <w:p w14:paraId="3750E0A2"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 xml:space="preserve">Weighted average shares of </w:t>
            </w:r>
            <w:r>
              <w:rPr>
                <w:rFonts w:ascii="Arial" w:eastAsia="宋体" w:hAnsi="Arial" w:cs="Arial"/>
                <w:b/>
                <w:bCs/>
                <w:color w:val="333333"/>
                <w:sz w:val="18"/>
                <w:szCs w:val="18"/>
              </w:rPr>
              <w:t>common stock outstanding—diluted</w:t>
            </w:r>
          </w:p>
        </w:tc>
        <w:tc>
          <w:tcPr>
            <w:tcW w:w="0" w:type="auto"/>
            <w:shd w:val="clear" w:color="auto" w:fill="auto"/>
            <w:tcMar>
              <w:top w:w="40" w:type="dxa"/>
              <w:left w:w="40" w:type="dxa"/>
              <w:bottom w:w="40" w:type="dxa"/>
              <w:right w:w="40" w:type="dxa"/>
            </w:tcMar>
            <w:vAlign w:val="bottom"/>
          </w:tcPr>
          <w:p w14:paraId="3750E0A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0A4"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4,312</w:t>
            </w:r>
          </w:p>
        </w:tc>
        <w:tc>
          <w:tcPr>
            <w:tcW w:w="0" w:type="auto"/>
            <w:shd w:val="clear" w:color="auto" w:fill="auto"/>
            <w:vAlign w:val="bottom"/>
          </w:tcPr>
          <w:p w14:paraId="3750E0A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0A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0A7"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4,564</w:t>
            </w:r>
          </w:p>
        </w:tc>
        <w:tc>
          <w:tcPr>
            <w:tcW w:w="0" w:type="auto"/>
            <w:shd w:val="clear" w:color="auto" w:fill="auto"/>
            <w:vAlign w:val="bottom"/>
          </w:tcPr>
          <w:p w14:paraId="3750E0A8" w14:textId="77777777" w:rsidR="002541AD" w:rsidRDefault="002541AD">
            <w:pPr>
              <w:textAlignment w:val="bottom"/>
              <w:rPr>
                <w:rFonts w:ascii="Times New Roman" w:hAnsi="Times New Roman"/>
                <w:sz w:val="20"/>
                <w:szCs w:val="20"/>
              </w:rPr>
            </w:pPr>
          </w:p>
        </w:tc>
      </w:tr>
      <w:tr w:rsidR="002541AD" w14:paraId="3750E0B3" w14:textId="77777777">
        <w:tc>
          <w:tcPr>
            <w:tcW w:w="0" w:type="auto"/>
            <w:shd w:val="clear" w:color="auto" w:fill="auto"/>
            <w:tcMar>
              <w:top w:w="40" w:type="dxa"/>
              <w:left w:w="40" w:type="dxa"/>
              <w:bottom w:w="40" w:type="dxa"/>
              <w:right w:w="40" w:type="dxa"/>
            </w:tcMar>
          </w:tcPr>
          <w:p w14:paraId="3750E0AA"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Earnings per share—basic</w:t>
            </w:r>
          </w:p>
        </w:tc>
        <w:tc>
          <w:tcPr>
            <w:tcW w:w="0" w:type="auto"/>
            <w:shd w:val="clear" w:color="auto" w:fill="auto"/>
            <w:tcMar>
              <w:top w:w="40" w:type="dxa"/>
              <w:left w:w="40" w:type="dxa"/>
              <w:bottom w:w="40" w:type="dxa"/>
              <w:right w:w="40" w:type="dxa"/>
            </w:tcMar>
            <w:vAlign w:val="bottom"/>
          </w:tcPr>
          <w:p w14:paraId="3750E0A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333333"/>
              <w:bottom w:val="double" w:sz="6" w:space="0" w:color="333333"/>
            </w:tcBorders>
            <w:shd w:val="clear" w:color="auto" w:fill="auto"/>
            <w:tcMar>
              <w:top w:w="40" w:type="dxa"/>
              <w:left w:w="40" w:type="dxa"/>
              <w:bottom w:w="40" w:type="dxa"/>
            </w:tcMar>
            <w:vAlign w:val="bottom"/>
          </w:tcPr>
          <w:p w14:paraId="3750E0AC"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double" w:sz="6" w:space="0" w:color="333333"/>
              <w:bottom w:val="double" w:sz="6" w:space="0" w:color="333333"/>
            </w:tcBorders>
            <w:shd w:val="clear" w:color="auto" w:fill="auto"/>
            <w:tcMar>
              <w:top w:w="40" w:type="dxa"/>
              <w:bottom w:w="40" w:type="dxa"/>
            </w:tcMar>
            <w:vAlign w:val="bottom"/>
          </w:tcPr>
          <w:p w14:paraId="3750E0AD"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1.33</w:t>
            </w:r>
          </w:p>
        </w:tc>
        <w:tc>
          <w:tcPr>
            <w:tcW w:w="0" w:type="auto"/>
            <w:tcBorders>
              <w:top w:val="double" w:sz="6" w:space="0" w:color="333333"/>
              <w:bottom w:val="double" w:sz="6" w:space="0" w:color="333333"/>
            </w:tcBorders>
            <w:shd w:val="clear" w:color="auto" w:fill="auto"/>
            <w:vAlign w:val="bottom"/>
          </w:tcPr>
          <w:p w14:paraId="3750E0A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0A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333333"/>
              <w:bottom w:val="double" w:sz="6" w:space="0" w:color="333333"/>
            </w:tcBorders>
            <w:shd w:val="clear" w:color="auto" w:fill="auto"/>
            <w:tcMar>
              <w:top w:w="40" w:type="dxa"/>
              <w:left w:w="40" w:type="dxa"/>
              <w:bottom w:w="40" w:type="dxa"/>
            </w:tcMar>
            <w:vAlign w:val="bottom"/>
          </w:tcPr>
          <w:p w14:paraId="3750E0B0"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double" w:sz="6" w:space="0" w:color="333333"/>
              <w:bottom w:val="double" w:sz="6" w:space="0" w:color="333333"/>
            </w:tcBorders>
            <w:shd w:val="clear" w:color="auto" w:fill="auto"/>
            <w:tcMar>
              <w:top w:w="40" w:type="dxa"/>
              <w:bottom w:w="40" w:type="dxa"/>
            </w:tcMar>
            <w:vAlign w:val="bottom"/>
          </w:tcPr>
          <w:p w14:paraId="3750E0B1"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0.88</w:t>
            </w:r>
          </w:p>
        </w:tc>
        <w:tc>
          <w:tcPr>
            <w:tcW w:w="0" w:type="auto"/>
            <w:tcBorders>
              <w:top w:val="double" w:sz="6" w:space="0" w:color="333333"/>
              <w:bottom w:val="double" w:sz="6" w:space="0" w:color="333333"/>
            </w:tcBorders>
            <w:shd w:val="clear" w:color="auto" w:fill="auto"/>
            <w:vAlign w:val="bottom"/>
          </w:tcPr>
          <w:p w14:paraId="3750E0B2" w14:textId="77777777" w:rsidR="002541AD" w:rsidRDefault="002541AD">
            <w:pPr>
              <w:textAlignment w:val="bottom"/>
              <w:rPr>
                <w:rFonts w:ascii="Times New Roman" w:hAnsi="Times New Roman"/>
                <w:sz w:val="20"/>
                <w:szCs w:val="20"/>
              </w:rPr>
            </w:pPr>
          </w:p>
        </w:tc>
      </w:tr>
      <w:tr w:rsidR="002541AD" w14:paraId="3750E0BD" w14:textId="77777777">
        <w:tc>
          <w:tcPr>
            <w:tcW w:w="0" w:type="auto"/>
            <w:shd w:val="clear" w:color="auto" w:fill="auto"/>
            <w:tcMar>
              <w:top w:w="40" w:type="dxa"/>
              <w:left w:w="40" w:type="dxa"/>
              <w:bottom w:w="40" w:type="dxa"/>
              <w:right w:w="40" w:type="dxa"/>
            </w:tcMar>
          </w:tcPr>
          <w:p w14:paraId="3750E0B4"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Earnings per share—diluted</w:t>
            </w:r>
          </w:p>
        </w:tc>
        <w:tc>
          <w:tcPr>
            <w:tcW w:w="0" w:type="auto"/>
            <w:shd w:val="clear" w:color="auto" w:fill="auto"/>
            <w:tcMar>
              <w:top w:w="40" w:type="dxa"/>
              <w:left w:w="40" w:type="dxa"/>
              <w:bottom w:w="40" w:type="dxa"/>
              <w:right w:w="40" w:type="dxa"/>
            </w:tcMar>
            <w:vAlign w:val="bottom"/>
          </w:tcPr>
          <w:p w14:paraId="3750E0B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3750E0B6"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3750E0B7"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1.31</w:t>
            </w:r>
          </w:p>
        </w:tc>
        <w:tc>
          <w:tcPr>
            <w:tcW w:w="0" w:type="auto"/>
            <w:tcBorders>
              <w:bottom w:val="double" w:sz="6" w:space="0" w:color="333333"/>
            </w:tcBorders>
            <w:shd w:val="clear" w:color="auto" w:fill="auto"/>
            <w:vAlign w:val="bottom"/>
          </w:tcPr>
          <w:p w14:paraId="3750E0B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0B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3750E0BA"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3750E0BB"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0.87</w:t>
            </w:r>
          </w:p>
        </w:tc>
        <w:tc>
          <w:tcPr>
            <w:tcW w:w="0" w:type="auto"/>
            <w:tcBorders>
              <w:bottom w:val="double" w:sz="6" w:space="0" w:color="333333"/>
            </w:tcBorders>
            <w:shd w:val="clear" w:color="auto" w:fill="auto"/>
            <w:vAlign w:val="bottom"/>
          </w:tcPr>
          <w:p w14:paraId="3750E0BC" w14:textId="77777777" w:rsidR="002541AD" w:rsidRDefault="002541AD">
            <w:pPr>
              <w:textAlignment w:val="bottom"/>
              <w:rPr>
                <w:rFonts w:ascii="Times New Roman" w:hAnsi="Times New Roman"/>
                <w:sz w:val="20"/>
                <w:szCs w:val="20"/>
              </w:rPr>
            </w:pPr>
          </w:p>
        </w:tc>
      </w:tr>
    </w:tbl>
    <w:p w14:paraId="3750E0BE"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Potentially dilutive shares of common stock from employee equity incentive plans are determined by applying the treasury stock method to the assumed exercise of outstanding stock options, the assumed vesting of outstanding RSUs, and the assumed issuance of</w:t>
      </w:r>
      <w:r>
        <w:rPr>
          <w:rFonts w:ascii="Arial" w:eastAsia="宋体" w:hAnsi="Arial" w:cs="Arial"/>
          <w:color w:val="333333"/>
          <w:sz w:val="18"/>
          <w:szCs w:val="18"/>
        </w:rPr>
        <w:t xml:space="preserve"> common stock under the stock purchase plan. </w:t>
      </w:r>
    </w:p>
    <w:p w14:paraId="3750E0BF"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In January 2020, we fully redeemed the remaining principal of our 2009 Debentures. We included our 2009 Debentures in the calculation of diluted earnings per share of common stock in 2019 by applying the treasu</w:t>
      </w:r>
      <w:r>
        <w:rPr>
          <w:rFonts w:ascii="Arial" w:eastAsia="宋体" w:hAnsi="Arial" w:cs="Arial"/>
          <w:color w:val="333333"/>
          <w:sz w:val="18"/>
          <w:szCs w:val="18"/>
        </w:rPr>
        <w:t>ry stock method because the average market price was above the conversion price.</w:t>
      </w:r>
    </w:p>
    <w:p w14:paraId="3750E0C0"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Securities which would have been anti-dilutive are insignificant and are excluded from the computation of diluted earnings per share in all periods presented.</w:t>
      </w:r>
    </w:p>
    <w:p w14:paraId="3750E0C1"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E0C3" w14:textId="77777777">
        <w:tc>
          <w:tcPr>
            <w:tcW w:w="0" w:type="auto"/>
            <w:gridSpan w:val="3"/>
            <w:shd w:val="clear" w:color="auto" w:fill="auto"/>
            <w:vAlign w:val="center"/>
          </w:tcPr>
          <w:p w14:paraId="3750E0C2" w14:textId="77777777" w:rsidR="002541AD" w:rsidRDefault="002541AD">
            <w:pPr>
              <w:rPr>
                <w:rFonts w:ascii="Times New Roman" w:hAnsi="Times New Roman"/>
                <w:sz w:val="20"/>
                <w:szCs w:val="20"/>
              </w:rPr>
            </w:pPr>
          </w:p>
        </w:tc>
      </w:tr>
      <w:tr w:rsidR="002541AD" w14:paraId="3750E0C7" w14:textId="77777777">
        <w:tc>
          <w:tcPr>
            <w:tcW w:w="1550" w:type="pct"/>
            <w:shd w:val="clear" w:color="auto" w:fill="auto"/>
            <w:vAlign w:val="center"/>
          </w:tcPr>
          <w:p w14:paraId="3750E0C4" w14:textId="77777777" w:rsidR="002541AD" w:rsidRDefault="002541AD">
            <w:pPr>
              <w:rPr>
                <w:rFonts w:ascii="Times New Roman" w:hAnsi="Times New Roman"/>
                <w:sz w:val="20"/>
                <w:szCs w:val="20"/>
              </w:rPr>
            </w:pPr>
          </w:p>
        </w:tc>
        <w:tc>
          <w:tcPr>
            <w:tcW w:w="2200" w:type="pct"/>
            <w:shd w:val="clear" w:color="auto" w:fill="auto"/>
            <w:vAlign w:val="center"/>
          </w:tcPr>
          <w:p w14:paraId="3750E0C5" w14:textId="77777777" w:rsidR="002541AD" w:rsidRDefault="002541AD">
            <w:pPr>
              <w:rPr>
                <w:rFonts w:ascii="Times New Roman" w:hAnsi="Times New Roman"/>
                <w:sz w:val="20"/>
                <w:szCs w:val="20"/>
              </w:rPr>
            </w:pPr>
          </w:p>
        </w:tc>
        <w:tc>
          <w:tcPr>
            <w:tcW w:w="1250" w:type="pct"/>
            <w:shd w:val="clear" w:color="auto" w:fill="auto"/>
            <w:vAlign w:val="center"/>
          </w:tcPr>
          <w:p w14:paraId="3750E0C6" w14:textId="77777777" w:rsidR="002541AD" w:rsidRDefault="002541AD">
            <w:pPr>
              <w:rPr>
                <w:rFonts w:ascii="Times New Roman" w:hAnsi="Times New Roman"/>
                <w:sz w:val="20"/>
                <w:szCs w:val="20"/>
              </w:rPr>
            </w:pPr>
          </w:p>
        </w:tc>
      </w:tr>
      <w:tr w:rsidR="002541AD" w14:paraId="3750E0CB" w14:textId="77777777">
        <w:tc>
          <w:tcPr>
            <w:tcW w:w="0" w:type="auto"/>
            <w:tcBorders>
              <w:top w:val="single" w:sz="8" w:space="0" w:color="0071C5"/>
              <w:right w:val="single" w:sz="24" w:space="0" w:color="0071C5"/>
            </w:tcBorders>
            <w:shd w:val="clear" w:color="auto" w:fill="auto"/>
            <w:tcMar>
              <w:top w:w="40" w:type="dxa"/>
              <w:left w:w="40" w:type="dxa"/>
              <w:bottom w:w="40" w:type="dxa"/>
              <w:right w:w="40" w:type="dxa"/>
            </w:tcMar>
            <w:vAlign w:val="center"/>
          </w:tcPr>
          <w:p w14:paraId="3750E0C8"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65" wp14:editId="3750F866">
                  <wp:extent cx="304800" cy="304800"/>
                  <wp:effectExtent l="0" t="0" r="0" b="0"/>
                  <wp:docPr id="42" name="图片 65"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5"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0C9"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0CA"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13</w:t>
            </w:r>
          </w:p>
        </w:tc>
      </w:tr>
    </w:tbl>
    <w:p w14:paraId="3750E0CC" w14:textId="77777777" w:rsidR="002541AD" w:rsidRDefault="002541AD">
      <w:pPr>
        <w:spacing w:line="288" w:lineRule="auto"/>
        <w:rPr>
          <w:rFonts w:ascii="Times New Roman" w:hAnsi="Times New Roman"/>
          <w:sz w:val="18"/>
          <w:szCs w:val="18"/>
        </w:rPr>
      </w:pPr>
    </w:p>
    <w:p w14:paraId="3750E0CD" w14:textId="77777777" w:rsidR="002541AD" w:rsidRDefault="002541AD">
      <w:pPr>
        <w:spacing w:line="288" w:lineRule="auto"/>
        <w:rPr>
          <w:rFonts w:ascii="Times New Roman" w:hAnsi="Times New Roman"/>
          <w:sz w:val="18"/>
          <w:szCs w:val="18"/>
        </w:rPr>
      </w:pPr>
    </w:p>
    <w:p w14:paraId="3750E0CE" w14:textId="77777777" w:rsidR="002541AD" w:rsidRDefault="00901AA6">
      <w:r>
        <w:rPr>
          <w:rFonts w:ascii="Times New Roman" w:hAnsi="Times New Roman"/>
          <w:sz w:val="18"/>
          <w:szCs w:val="18"/>
        </w:rPr>
        <w:pict w14:anchorId="3750F867">
          <v:rect id="_x0000_i1039" style="width:415.3pt;height:1.5pt" o:hralign="center" o:hrstd="t" o:hr="t" fillcolor="#a0a0a0" stroked="f"/>
        </w:pict>
      </w:r>
    </w:p>
    <w:p w14:paraId="3750E0CF" w14:textId="77777777" w:rsidR="002541AD" w:rsidRDefault="00901AA6">
      <w:pPr>
        <w:spacing w:line="288" w:lineRule="auto"/>
        <w:jc w:val="right"/>
        <w:rPr>
          <w:rFonts w:ascii="Times New Roman" w:hAnsi="Times New Roman"/>
          <w:sz w:val="16"/>
          <w:szCs w:val="16"/>
        </w:rPr>
      </w:pPr>
      <w:hyperlink r:id="rId42" w:anchor="s2CABEAF4222C52B4A34547BF538A8C27" w:history="1">
        <w:r>
          <w:rPr>
            <w:rStyle w:val="a5"/>
            <w:rFonts w:ascii="Arial" w:eastAsia="宋体" w:hAnsi="Arial" w:cs="Arial"/>
            <w:b/>
            <w:bCs/>
            <w:sz w:val="16"/>
            <w:szCs w:val="16"/>
          </w:rPr>
          <w:t>Table of Contents</w:t>
        </w:r>
      </w:hyperlink>
    </w:p>
    <w:p w14:paraId="3750E0D0" w14:textId="77777777" w:rsidR="002541AD" w:rsidRDefault="002541AD">
      <w:pPr>
        <w:spacing w:line="288" w:lineRule="auto"/>
        <w:jc w:val="right"/>
        <w:rPr>
          <w:rFonts w:ascii="Times New Roman" w:hAnsi="Times New Roman"/>
          <w:sz w:val="18"/>
          <w:szCs w:val="18"/>
        </w:rPr>
      </w:pPr>
    </w:p>
    <w:p w14:paraId="3750E0D1"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080"/>
        <w:gridCol w:w="7226"/>
      </w:tblGrid>
      <w:tr w:rsidR="002541AD" w14:paraId="3750E0D3" w14:textId="77777777">
        <w:tc>
          <w:tcPr>
            <w:tcW w:w="0" w:type="auto"/>
            <w:gridSpan w:val="2"/>
            <w:shd w:val="clear" w:color="auto" w:fill="auto"/>
            <w:vAlign w:val="center"/>
          </w:tcPr>
          <w:p w14:paraId="3750E0D2" w14:textId="77777777" w:rsidR="002541AD" w:rsidRDefault="002541AD">
            <w:pPr>
              <w:rPr>
                <w:rFonts w:ascii="Times New Roman" w:hAnsi="Times New Roman"/>
                <w:sz w:val="20"/>
                <w:szCs w:val="20"/>
              </w:rPr>
            </w:pPr>
          </w:p>
        </w:tc>
      </w:tr>
      <w:tr w:rsidR="002541AD" w14:paraId="3750E0D6" w14:textId="77777777">
        <w:tc>
          <w:tcPr>
            <w:tcW w:w="650" w:type="pct"/>
            <w:shd w:val="clear" w:color="auto" w:fill="auto"/>
            <w:vAlign w:val="center"/>
          </w:tcPr>
          <w:p w14:paraId="3750E0D4" w14:textId="77777777" w:rsidR="002541AD" w:rsidRDefault="002541AD">
            <w:pPr>
              <w:rPr>
                <w:rFonts w:ascii="Times New Roman" w:hAnsi="Times New Roman"/>
                <w:sz w:val="20"/>
                <w:szCs w:val="20"/>
              </w:rPr>
            </w:pPr>
          </w:p>
        </w:tc>
        <w:tc>
          <w:tcPr>
            <w:tcW w:w="4350" w:type="pct"/>
            <w:shd w:val="clear" w:color="auto" w:fill="auto"/>
            <w:vAlign w:val="center"/>
          </w:tcPr>
          <w:p w14:paraId="3750E0D5" w14:textId="77777777" w:rsidR="002541AD" w:rsidRDefault="002541AD">
            <w:pPr>
              <w:rPr>
                <w:rFonts w:ascii="Times New Roman" w:hAnsi="Times New Roman"/>
                <w:sz w:val="20"/>
                <w:szCs w:val="20"/>
              </w:rPr>
            </w:pPr>
          </w:p>
        </w:tc>
      </w:tr>
      <w:tr w:rsidR="002541AD" w14:paraId="3750E0D9"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3750E0D7"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4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E0D8" w14:textId="77777777" w:rsidR="002541AD" w:rsidRDefault="00901AA6">
            <w:pPr>
              <w:textAlignment w:val="bottom"/>
              <w:rPr>
                <w:rFonts w:ascii="Times New Roman" w:hAnsi="Times New Roman"/>
                <w:sz w:val="28"/>
                <w:szCs w:val="28"/>
              </w:rPr>
            </w:pPr>
            <w:r>
              <w:rPr>
                <w:rFonts w:ascii="Arial" w:eastAsia="宋体" w:hAnsi="Arial" w:cs="Arial"/>
                <w:b/>
                <w:bCs/>
                <w:color w:val="0071C5"/>
                <w:sz w:val="28"/>
                <w:szCs w:val="28"/>
              </w:rPr>
              <w:t>CONTRACT LIABILITIES</w:t>
            </w:r>
          </w:p>
        </w:tc>
      </w:tr>
    </w:tbl>
    <w:p w14:paraId="3750E0DA" w14:textId="77777777" w:rsidR="002541AD" w:rsidRDefault="002541AD">
      <w:pPr>
        <w:spacing w:line="288" w:lineRule="auto"/>
        <w:rPr>
          <w:rFonts w:ascii="Times New Roman" w:hAnsi="Times New Roman"/>
          <w:sz w:val="28"/>
          <w:szCs w:val="28"/>
        </w:rPr>
      </w:pPr>
    </w:p>
    <w:tbl>
      <w:tblPr>
        <w:tblW w:w="5000" w:type="pct"/>
        <w:tblCellMar>
          <w:left w:w="0" w:type="dxa"/>
          <w:right w:w="0" w:type="dxa"/>
        </w:tblCellMar>
        <w:tblLook w:val="04A0" w:firstRow="1" w:lastRow="0" w:firstColumn="1" w:lastColumn="0" w:noHBand="0" w:noVBand="1"/>
      </w:tblPr>
      <w:tblGrid>
        <w:gridCol w:w="6097"/>
        <w:gridCol w:w="130"/>
        <w:gridCol w:w="142"/>
        <w:gridCol w:w="782"/>
        <w:gridCol w:w="58"/>
        <w:gridCol w:w="130"/>
        <w:gridCol w:w="142"/>
        <w:gridCol w:w="766"/>
        <w:gridCol w:w="59"/>
      </w:tblGrid>
      <w:tr w:rsidR="002541AD" w14:paraId="3750E0DC" w14:textId="77777777">
        <w:tc>
          <w:tcPr>
            <w:tcW w:w="0" w:type="auto"/>
            <w:gridSpan w:val="9"/>
            <w:shd w:val="clear" w:color="auto" w:fill="auto"/>
            <w:vAlign w:val="center"/>
          </w:tcPr>
          <w:p w14:paraId="3750E0DB" w14:textId="77777777" w:rsidR="002541AD" w:rsidRDefault="002541AD">
            <w:pPr>
              <w:rPr>
                <w:rFonts w:ascii="Times New Roman" w:hAnsi="Times New Roman"/>
                <w:sz w:val="20"/>
                <w:szCs w:val="20"/>
              </w:rPr>
            </w:pPr>
          </w:p>
        </w:tc>
      </w:tr>
      <w:tr w:rsidR="002541AD" w14:paraId="3750E0E6" w14:textId="77777777">
        <w:tc>
          <w:tcPr>
            <w:tcW w:w="3700" w:type="pct"/>
            <w:shd w:val="clear" w:color="auto" w:fill="auto"/>
            <w:vAlign w:val="center"/>
          </w:tcPr>
          <w:p w14:paraId="3750E0DD" w14:textId="77777777" w:rsidR="002541AD" w:rsidRDefault="002541AD">
            <w:pPr>
              <w:rPr>
                <w:rFonts w:ascii="Times New Roman" w:hAnsi="Times New Roman"/>
                <w:sz w:val="20"/>
                <w:szCs w:val="20"/>
              </w:rPr>
            </w:pPr>
          </w:p>
        </w:tc>
        <w:tc>
          <w:tcPr>
            <w:tcW w:w="50" w:type="pct"/>
            <w:shd w:val="clear" w:color="auto" w:fill="auto"/>
            <w:vAlign w:val="center"/>
          </w:tcPr>
          <w:p w14:paraId="3750E0DE" w14:textId="77777777" w:rsidR="002541AD" w:rsidRDefault="002541AD">
            <w:pPr>
              <w:rPr>
                <w:rFonts w:ascii="Times New Roman" w:hAnsi="Times New Roman"/>
                <w:sz w:val="20"/>
                <w:szCs w:val="20"/>
              </w:rPr>
            </w:pPr>
          </w:p>
        </w:tc>
        <w:tc>
          <w:tcPr>
            <w:tcW w:w="50" w:type="pct"/>
            <w:shd w:val="clear" w:color="auto" w:fill="auto"/>
            <w:vAlign w:val="center"/>
          </w:tcPr>
          <w:p w14:paraId="3750E0DF" w14:textId="77777777" w:rsidR="002541AD" w:rsidRDefault="002541AD">
            <w:pPr>
              <w:rPr>
                <w:rFonts w:ascii="Times New Roman" w:hAnsi="Times New Roman"/>
                <w:sz w:val="20"/>
                <w:szCs w:val="20"/>
              </w:rPr>
            </w:pPr>
          </w:p>
        </w:tc>
        <w:tc>
          <w:tcPr>
            <w:tcW w:w="500" w:type="pct"/>
            <w:shd w:val="clear" w:color="auto" w:fill="auto"/>
            <w:vAlign w:val="center"/>
          </w:tcPr>
          <w:p w14:paraId="3750E0E0" w14:textId="77777777" w:rsidR="002541AD" w:rsidRDefault="002541AD">
            <w:pPr>
              <w:rPr>
                <w:rFonts w:ascii="Times New Roman" w:hAnsi="Times New Roman"/>
                <w:sz w:val="20"/>
                <w:szCs w:val="20"/>
              </w:rPr>
            </w:pPr>
          </w:p>
        </w:tc>
        <w:tc>
          <w:tcPr>
            <w:tcW w:w="50" w:type="pct"/>
            <w:shd w:val="clear" w:color="auto" w:fill="auto"/>
            <w:vAlign w:val="center"/>
          </w:tcPr>
          <w:p w14:paraId="3750E0E1" w14:textId="77777777" w:rsidR="002541AD" w:rsidRDefault="002541AD">
            <w:pPr>
              <w:rPr>
                <w:rFonts w:ascii="Times New Roman" w:hAnsi="Times New Roman"/>
                <w:sz w:val="20"/>
                <w:szCs w:val="20"/>
              </w:rPr>
            </w:pPr>
          </w:p>
        </w:tc>
        <w:tc>
          <w:tcPr>
            <w:tcW w:w="50" w:type="pct"/>
            <w:shd w:val="clear" w:color="auto" w:fill="auto"/>
            <w:vAlign w:val="center"/>
          </w:tcPr>
          <w:p w14:paraId="3750E0E2" w14:textId="77777777" w:rsidR="002541AD" w:rsidRDefault="002541AD">
            <w:pPr>
              <w:rPr>
                <w:rFonts w:ascii="Times New Roman" w:hAnsi="Times New Roman"/>
                <w:sz w:val="20"/>
                <w:szCs w:val="20"/>
              </w:rPr>
            </w:pPr>
          </w:p>
        </w:tc>
        <w:tc>
          <w:tcPr>
            <w:tcW w:w="50" w:type="pct"/>
            <w:shd w:val="clear" w:color="auto" w:fill="auto"/>
            <w:vAlign w:val="center"/>
          </w:tcPr>
          <w:p w14:paraId="3750E0E3" w14:textId="77777777" w:rsidR="002541AD" w:rsidRDefault="002541AD">
            <w:pPr>
              <w:rPr>
                <w:rFonts w:ascii="Times New Roman" w:hAnsi="Times New Roman"/>
                <w:sz w:val="20"/>
                <w:szCs w:val="20"/>
              </w:rPr>
            </w:pPr>
          </w:p>
        </w:tc>
        <w:tc>
          <w:tcPr>
            <w:tcW w:w="500" w:type="pct"/>
            <w:shd w:val="clear" w:color="auto" w:fill="auto"/>
            <w:vAlign w:val="center"/>
          </w:tcPr>
          <w:p w14:paraId="3750E0E4" w14:textId="77777777" w:rsidR="002541AD" w:rsidRDefault="002541AD">
            <w:pPr>
              <w:rPr>
                <w:rFonts w:ascii="Times New Roman" w:hAnsi="Times New Roman"/>
                <w:sz w:val="20"/>
                <w:szCs w:val="20"/>
              </w:rPr>
            </w:pPr>
          </w:p>
        </w:tc>
        <w:tc>
          <w:tcPr>
            <w:tcW w:w="50" w:type="pct"/>
            <w:shd w:val="clear" w:color="auto" w:fill="auto"/>
            <w:vAlign w:val="center"/>
          </w:tcPr>
          <w:p w14:paraId="3750E0E5" w14:textId="77777777" w:rsidR="002541AD" w:rsidRDefault="002541AD">
            <w:pPr>
              <w:rPr>
                <w:rFonts w:ascii="Times New Roman" w:hAnsi="Times New Roman"/>
                <w:sz w:val="20"/>
                <w:szCs w:val="20"/>
              </w:rPr>
            </w:pPr>
          </w:p>
        </w:tc>
      </w:tr>
      <w:tr w:rsidR="002541AD" w14:paraId="3750E0EC"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0E7"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E0E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0E9"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c>
          <w:tcPr>
            <w:tcW w:w="0" w:type="auto"/>
            <w:shd w:val="clear" w:color="auto" w:fill="auto"/>
            <w:tcMar>
              <w:top w:w="40" w:type="dxa"/>
              <w:left w:w="40" w:type="dxa"/>
              <w:bottom w:w="40" w:type="dxa"/>
              <w:right w:w="40" w:type="dxa"/>
            </w:tcMar>
            <w:vAlign w:val="bottom"/>
          </w:tcPr>
          <w:p w14:paraId="3750E0E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0EB"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r>
      <w:tr w:rsidR="002541AD" w14:paraId="3750E0F6" w14:textId="77777777">
        <w:tc>
          <w:tcPr>
            <w:tcW w:w="0" w:type="auto"/>
            <w:shd w:val="clear" w:color="auto" w:fill="auto"/>
            <w:tcMar>
              <w:top w:w="40" w:type="dxa"/>
              <w:left w:w="40" w:type="dxa"/>
              <w:bottom w:w="40" w:type="dxa"/>
              <w:right w:w="40" w:type="dxa"/>
            </w:tcMar>
            <w:vAlign w:val="bottom"/>
          </w:tcPr>
          <w:p w14:paraId="3750E0ED"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Prepaid supply agreements</w:t>
            </w:r>
          </w:p>
        </w:tc>
        <w:tc>
          <w:tcPr>
            <w:tcW w:w="0" w:type="auto"/>
            <w:shd w:val="clear" w:color="auto" w:fill="auto"/>
            <w:tcMar>
              <w:top w:w="40" w:type="dxa"/>
              <w:left w:w="40" w:type="dxa"/>
              <w:bottom w:w="40" w:type="dxa"/>
              <w:right w:w="40" w:type="dxa"/>
            </w:tcMar>
            <w:vAlign w:val="bottom"/>
          </w:tcPr>
          <w:p w14:paraId="3750E0E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0EF"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0F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1,718</w:t>
            </w:r>
          </w:p>
        </w:tc>
        <w:tc>
          <w:tcPr>
            <w:tcW w:w="0" w:type="auto"/>
            <w:shd w:val="clear" w:color="auto" w:fill="auto"/>
            <w:vAlign w:val="bottom"/>
          </w:tcPr>
          <w:p w14:paraId="3750E0F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0F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0F3"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0F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1,805</w:t>
            </w:r>
          </w:p>
        </w:tc>
        <w:tc>
          <w:tcPr>
            <w:tcW w:w="0" w:type="auto"/>
            <w:shd w:val="clear" w:color="auto" w:fill="auto"/>
            <w:vAlign w:val="bottom"/>
          </w:tcPr>
          <w:p w14:paraId="3750E0F5" w14:textId="77777777" w:rsidR="002541AD" w:rsidRDefault="002541AD">
            <w:pPr>
              <w:textAlignment w:val="bottom"/>
              <w:rPr>
                <w:rFonts w:ascii="Times New Roman" w:hAnsi="Times New Roman"/>
                <w:sz w:val="20"/>
                <w:szCs w:val="20"/>
              </w:rPr>
            </w:pPr>
          </w:p>
        </w:tc>
      </w:tr>
      <w:tr w:rsidR="002541AD" w14:paraId="3750E0FE" w14:textId="77777777">
        <w:tc>
          <w:tcPr>
            <w:tcW w:w="0" w:type="auto"/>
            <w:shd w:val="clear" w:color="auto" w:fill="auto"/>
            <w:tcMar>
              <w:top w:w="40" w:type="dxa"/>
              <w:left w:w="40" w:type="dxa"/>
              <w:bottom w:w="40" w:type="dxa"/>
              <w:right w:w="40" w:type="dxa"/>
            </w:tcMar>
            <w:vAlign w:val="bottom"/>
          </w:tcPr>
          <w:p w14:paraId="3750E0F7" w14:textId="77777777" w:rsidR="002541AD" w:rsidRDefault="00901AA6">
            <w:pPr>
              <w:ind w:hanging="240"/>
              <w:textAlignment w:val="bottom"/>
              <w:rPr>
                <w:rFonts w:ascii="Times New Roman" w:hAnsi="Times New Roman"/>
                <w:sz w:val="18"/>
                <w:szCs w:val="18"/>
              </w:rPr>
            </w:pPr>
            <w:r>
              <w:rPr>
                <w:rFonts w:ascii="Arial" w:eastAsia="宋体" w:hAnsi="Arial" w:cs="Arial"/>
                <w:color w:val="333333"/>
                <w:sz w:val="18"/>
                <w:szCs w:val="18"/>
              </w:rPr>
              <w:t>Other</w:t>
            </w:r>
          </w:p>
        </w:tc>
        <w:tc>
          <w:tcPr>
            <w:tcW w:w="0" w:type="auto"/>
            <w:shd w:val="clear" w:color="auto" w:fill="auto"/>
            <w:tcMar>
              <w:top w:w="40" w:type="dxa"/>
              <w:left w:w="40" w:type="dxa"/>
              <w:bottom w:w="40" w:type="dxa"/>
              <w:right w:w="40" w:type="dxa"/>
            </w:tcMar>
            <w:vAlign w:val="bottom"/>
          </w:tcPr>
          <w:p w14:paraId="3750E0F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0F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271</w:t>
            </w:r>
          </w:p>
        </w:tc>
        <w:tc>
          <w:tcPr>
            <w:tcW w:w="0" w:type="auto"/>
            <w:shd w:val="clear" w:color="auto" w:fill="auto"/>
            <w:vAlign w:val="bottom"/>
          </w:tcPr>
          <w:p w14:paraId="3750E0F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0F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0F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236</w:t>
            </w:r>
          </w:p>
        </w:tc>
        <w:tc>
          <w:tcPr>
            <w:tcW w:w="0" w:type="auto"/>
            <w:shd w:val="clear" w:color="auto" w:fill="auto"/>
            <w:vAlign w:val="bottom"/>
          </w:tcPr>
          <w:p w14:paraId="3750E0FD" w14:textId="77777777" w:rsidR="002541AD" w:rsidRDefault="002541AD">
            <w:pPr>
              <w:textAlignment w:val="bottom"/>
              <w:rPr>
                <w:rFonts w:ascii="Times New Roman" w:hAnsi="Times New Roman"/>
                <w:sz w:val="20"/>
                <w:szCs w:val="20"/>
              </w:rPr>
            </w:pPr>
          </w:p>
        </w:tc>
      </w:tr>
      <w:tr w:rsidR="002541AD" w14:paraId="3750E108" w14:textId="77777777">
        <w:tc>
          <w:tcPr>
            <w:tcW w:w="0" w:type="auto"/>
            <w:shd w:val="clear" w:color="auto" w:fill="auto"/>
            <w:tcMar>
              <w:top w:w="40" w:type="dxa"/>
              <w:left w:w="40" w:type="dxa"/>
              <w:bottom w:w="40" w:type="dxa"/>
              <w:right w:w="40" w:type="dxa"/>
            </w:tcMar>
          </w:tcPr>
          <w:p w14:paraId="3750E0FF"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Total contract liabilities</w:t>
            </w:r>
          </w:p>
        </w:tc>
        <w:tc>
          <w:tcPr>
            <w:tcW w:w="0" w:type="auto"/>
            <w:shd w:val="clear" w:color="auto" w:fill="auto"/>
            <w:tcMar>
              <w:top w:w="40" w:type="dxa"/>
              <w:left w:w="40" w:type="dxa"/>
              <w:bottom w:w="40" w:type="dxa"/>
              <w:right w:w="40" w:type="dxa"/>
            </w:tcMar>
            <w:vAlign w:val="bottom"/>
          </w:tcPr>
          <w:p w14:paraId="3750E10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101"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102"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1,989</w:t>
            </w:r>
          </w:p>
        </w:tc>
        <w:tc>
          <w:tcPr>
            <w:tcW w:w="0" w:type="auto"/>
            <w:tcBorders>
              <w:top w:val="single" w:sz="8" w:space="0" w:color="333333"/>
              <w:bottom w:val="double" w:sz="6" w:space="0" w:color="333333"/>
            </w:tcBorders>
            <w:shd w:val="clear" w:color="auto" w:fill="auto"/>
            <w:vAlign w:val="bottom"/>
          </w:tcPr>
          <w:p w14:paraId="3750E10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10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105"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106"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2,041</w:t>
            </w:r>
          </w:p>
        </w:tc>
        <w:tc>
          <w:tcPr>
            <w:tcW w:w="0" w:type="auto"/>
            <w:tcBorders>
              <w:top w:val="single" w:sz="8" w:space="0" w:color="333333"/>
              <w:bottom w:val="double" w:sz="6" w:space="0" w:color="333333"/>
            </w:tcBorders>
            <w:shd w:val="clear" w:color="auto" w:fill="auto"/>
            <w:vAlign w:val="bottom"/>
          </w:tcPr>
          <w:p w14:paraId="3750E107" w14:textId="77777777" w:rsidR="002541AD" w:rsidRDefault="002541AD">
            <w:pPr>
              <w:textAlignment w:val="bottom"/>
              <w:rPr>
                <w:rFonts w:ascii="Times New Roman" w:hAnsi="Times New Roman"/>
                <w:sz w:val="20"/>
                <w:szCs w:val="20"/>
              </w:rPr>
            </w:pPr>
          </w:p>
        </w:tc>
      </w:tr>
    </w:tbl>
    <w:p w14:paraId="3750E109" w14:textId="77777777" w:rsidR="002541AD" w:rsidRDefault="002541AD">
      <w:pPr>
        <w:spacing w:line="288" w:lineRule="auto"/>
        <w:rPr>
          <w:rFonts w:ascii="Times New Roman" w:hAnsi="Times New Roman"/>
          <w:sz w:val="20"/>
          <w:szCs w:val="20"/>
        </w:rPr>
      </w:pPr>
    </w:p>
    <w:p w14:paraId="3750E10A"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Contract liabilities are primarily related to prepayments received from customers on long-term </w:t>
      </w:r>
      <w:r>
        <w:rPr>
          <w:rFonts w:ascii="Arial" w:eastAsia="宋体" w:hAnsi="Arial" w:cs="Arial"/>
          <w:color w:val="333333"/>
          <w:sz w:val="18"/>
          <w:szCs w:val="18"/>
        </w:rPr>
        <w:t>prepaid supply agreements toward future NSG product delivery. The short-term portion of contract liabilities is reported on the Consolidated Condensed Balance Sheets within other accrued liabilities.</w:t>
      </w:r>
    </w:p>
    <w:p w14:paraId="3750E10B"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The following table shows the changes in contract liabil</w:t>
      </w:r>
      <w:r>
        <w:rPr>
          <w:rFonts w:ascii="Arial" w:eastAsia="宋体" w:hAnsi="Arial" w:cs="Arial"/>
          <w:color w:val="333333"/>
          <w:sz w:val="18"/>
          <w:szCs w:val="18"/>
        </w:rPr>
        <w:t>ity balances relating to long-term prepaid supply agreements during the first three months of 2020:</w:t>
      </w:r>
    </w:p>
    <w:tbl>
      <w:tblPr>
        <w:tblW w:w="5000" w:type="pct"/>
        <w:tblCellMar>
          <w:left w:w="0" w:type="dxa"/>
          <w:right w:w="0" w:type="dxa"/>
        </w:tblCellMar>
        <w:tblLook w:val="04A0" w:firstRow="1" w:lastRow="0" w:firstColumn="1" w:lastColumn="0" w:noHBand="0" w:noVBand="1"/>
      </w:tblPr>
      <w:tblGrid>
        <w:gridCol w:w="7165"/>
        <w:gridCol w:w="130"/>
        <w:gridCol w:w="141"/>
        <w:gridCol w:w="770"/>
        <w:gridCol w:w="100"/>
      </w:tblGrid>
      <w:tr w:rsidR="002541AD" w14:paraId="3750E10D" w14:textId="77777777">
        <w:tc>
          <w:tcPr>
            <w:tcW w:w="0" w:type="auto"/>
            <w:gridSpan w:val="5"/>
            <w:shd w:val="clear" w:color="auto" w:fill="auto"/>
            <w:vAlign w:val="center"/>
          </w:tcPr>
          <w:p w14:paraId="3750E10C" w14:textId="77777777" w:rsidR="002541AD" w:rsidRDefault="002541AD">
            <w:pPr>
              <w:rPr>
                <w:rFonts w:ascii="Times New Roman" w:hAnsi="Times New Roman"/>
                <w:sz w:val="20"/>
                <w:szCs w:val="20"/>
              </w:rPr>
            </w:pPr>
          </w:p>
        </w:tc>
      </w:tr>
      <w:tr w:rsidR="002541AD" w14:paraId="3750E113" w14:textId="77777777">
        <w:tc>
          <w:tcPr>
            <w:tcW w:w="4350" w:type="pct"/>
            <w:shd w:val="clear" w:color="auto" w:fill="auto"/>
            <w:vAlign w:val="center"/>
          </w:tcPr>
          <w:p w14:paraId="3750E10E" w14:textId="77777777" w:rsidR="002541AD" w:rsidRDefault="002541AD">
            <w:pPr>
              <w:rPr>
                <w:rFonts w:ascii="Times New Roman" w:hAnsi="Times New Roman"/>
                <w:sz w:val="20"/>
                <w:szCs w:val="20"/>
              </w:rPr>
            </w:pPr>
          </w:p>
        </w:tc>
        <w:tc>
          <w:tcPr>
            <w:tcW w:w="50" w:type="pct"/>
            <w:shd w:val="clear" w:color="auto" w:fill="auto"/>
            <w:vAlign w:val="center"/>
          </w:tcPr>
          <w:p w14:paraId="3750E10F" w14:textId="77777777" w:rsidR="002541AD" w:rsidRDefault="002541AD">
            <w:pPr>
              <w:rPr>
                <w:rFonts w:ascii="Times New Roman" w:hAnsi="Times New Roman"/>
                <w:sz w:val="20"/>
                <w:szCs w:val="20"/>
              </w:rPr>
            </w:pPr>
          </w:p>
        </w:tc>
        <w:tc>
          <w:tcPr>
            <w:tcW w:w="50" w:type="pct"/>
            <w:shd w:val="clear" w:color="auto" w:fill="auto"/>
            <w:vAlign w:val="center"/>
          </w:tcPr>
          <w:p w14:paraId="3750E110" w14:textId="77777777" w:rsidR="002541AD" w:rsidRDefault="002541AD">
            <w:pPr>
              <w:rPr>
                <w:rFonts w:ascii="Times New Roman" w:hAnsi="Times New Roman"/>
                <w:sz w:val="20"/>
                <w:szCs w:val="20"/>
              </w:rPr>
            </w:pPr>
          </w:p>
        </w:tc>
        <w:tc>
          <w:tcPr>
            <w:tcW w:w="500" w:type="pct"/>
            <w:shd w:val="clear" w:color="auto" w:fill="auto"/>
            <w:vAlign w:val="center"/>
          </w:tcPr>
          <w:p w14:paraId="3750E111" w14:textId="77777777" w:rsidR="002541AD" w:rsidRDefault="002541AD">
            <w:pPr>
              <w:rPr>
                <w:rFonts w:ascii="Times New Roman" w:hAnsi="Times New Roman"/>
                <w:sz w:val="20"/>
                <w:szCs w:val="20"/>
              </w:rPr>
            </w:pPr>
          </w:p>
        </w:tc>
        <w:tc>
          <w:tcPr>
            <w:tcW w:w="50" w:type="pct"/>
            <w:shd w:val="clear" w:color="auto" w:fill="auto"/>
            <w:vAlign w:val="center"/>
          </w:tcPr>
          <w:p w14:paraId="3750E112" w14:textId="77777777" w:rsidR="002541AD" w:rsidRDefault="002541AD">
            <w:pPr>
              <w:rPr>
                <w:rFonts w:ascii="Times New Roman" w:hAnsi="Times New Roman"/>
                <w:sz w:val="20"/>
                <w:szCs w:val="20"/>
              </w:rPr>
            </w:pPr>
          </w:p>
        </w:tc>
      </w:tr>
      <w:tr w:rsidR="002541AD" w14:paraId="3750E117"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114"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E11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11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11D" w14:textId="77777777">
        <w:tc>
          <w:tcPr>
            <w:tcW w:w="0" w:type="auto"/>
            <w:shd w:val="clear" w:color="auto" w:fill="auto"/>
            <w:tcMar>
              <w:top w:w="40" w:type="dxa"/>
              <w:left w:w="40" w:type="dxa"/>
              <w:bottom w:w="40" w:type="dxa"/>
              <w:right w:w="40" w:type="dxa"/>
            </w:tcMar>
            <w:vAlign w:val="bottom"/>
          </w:tcPr>
          <w:p w14:paraId="3750E118"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Prepaid supply agreements balance as of December 28, 2019</w:t>
            </w:r>
          </w:p>
        </w:tc>
        <w:tc>
          <w:tcPr>
            <w:tcW w:w="0" w:type="auto"/>
            <w:shd w:val="clear" w:color="auto" w:fill="auto"/>
            <w:tcMar>
              <w:top w:w="40" w:type="dxa"/>
              <w:left w:w="40" w:type="dxa"/>
              <w:bottom w:w="40" w:type="dxa"/>
              <w:right w:w="40" w:type="dxa"/>
            </w:tcMar>
            <w:vAlign w:val="bottom"/>
          </w:tcPr>
          <w:p w14:paraId="3750E11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11A"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3750E11B"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1,805</w:t>
            </w:r>
          </w:p>
        </w:tc>
        <w:tc>
          <w:tcPr>
            <w:tcW w:w="0" w:type="auto"/>
            <w:shd w:val="clear" w:color="auto" w:fill="auto"/>
            <w:vAlign w:val="bottom"/>
          </w:tcPr>
          <w:p w14:paraId="3750E11C" w14:textId="77777777" w:rsidR="002541AD" w:rsidRDefault="002541AD">
            <w:pPr>
              <w:textAlignment w:val="bottom"/>
              <w:rPr>
                <w:rFonts w:ascii="Times New Roman" w:hAnsi="Times New Roman"/>
                <w:sz w:val="20"/>
                <w:szCs w:val="20"/>
              </w:rPr>
            </w:pPr>
          </w:p>
        </w:tc>
      </w:tr>
      <w:tr w:rsidR="002541AD" w14:paraId="3750E122" w14:textId="77777777">
        <w:tc>
          <w:tcPr>
            <w:tcW w:w="0" w:type="auto"/>
            <w:shd w:val="clear" w:color="auto" w:fill="auto"/>
            <w:tcMar>
              <w:top w:w="40" w:type="dxa"/>
              <w:left w:w="40" w:type="dxa"/>
              <w:bottom w:w="40" w:type="dxa"/>
              <w:right w:w="40" w:type="dxa"/>
            </w:tcMar>
            <w:vAlign w:val="bottom"/>
          </w:tcPr>
          <w:p w14:paraId="3750E11E" w14:textId="77777777" w:rsidR="002541AD" w:rsidRDefault="00901AA6">
            <w:pPr>
              <w:ind w:hanging="240"/>
              <w:textAlignment w:val="bottom"/>
              <w:rPr>
                <w:rFonts w:ascii="Times New Roman" w:hAnsi="Times New Roman"/>
                <w:sz w:val="18"/>
                <w:szCs w:val="18"/>
              </w:rPr>
            </w:pPr>
            <w:r>
              <w:rPr>
                <w:rFonts w:ascii="Arial" w:eastAsia="宋体" w:hAnsi="Arial" w:cs="Arial"/>
                <w:color w:val="333333"/>
                <w:sz w:val="18"/>
                <w:szCs w:val="18"/>
              </w:rPr>
              <w:t xml:space="preserve">Prepayments utilized </w:t>
            </w:r>
          </w:p>
        </w:tc>
        <w:tc>
          <w:tcPr>
            <w:tcW w:w="0" w:type="auto"/>
            <w:shd w:val="clear" w:color="auto" w:fill="auto"/>
            <w:tcMar>
              <w:top w:w="40" w:type="dxa"/>
              <w:left w:w="40" w:type="dxa"/>
              <w:bottom w:w="40" w:type="dxa"/>
              <w:right w:w="40" w:type="dxa"/>
            </w:tcMar>
            <w:vAlign w:val="bottom"/>
          </w:tcPr>
          <w:p w14:paraId="3750E11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12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(87</w:t>
            </w:r>
          </w:p>
        </w:tc>
        <w:tc>
          <w:tcPr>
            <w:tcW w:w="0" w:type="auto"/>
            <w:shd w:val="clear" w:color="auto" w:fill="auto"/>
            <w:tcMar>
              <w:top w:w="40" w:type="dxa"/>
              <w:bottom w:w="40" w:type="dxa"/>
              <w:right w:w="40" w:type="dxa"/>
            </w:tcMar>
            <w:vAlign w:val="bottom"/>
          </w:tcPr>
          <w:p w14:paraId="3750E121"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r>
      <w:tr w:rsidR="002541AD" w14:paraId="3750E128" w14:textId="77777777">
        <w:tc>
          <w:tcPr>
            <w:tcW w:w="0" w:type="auto"/>
            <w:shd w:val="clear" w:color="auto" w:fill="auto"/>
            <w:tcMar>
              <w:top w:w="40" w:type="dxa"/>
              <w:left w:w="40" w:type="dxa"/>
              <w:bottom w:w="40" w:type="dxa"/>
              <w:right w:w="40" w:type="dxa"/>
            </w:tcMar>
          </w:tcPr>
          <w:p w14:paraId="3750E123"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 xml:space="preserve">Prepaid supply </w:t>
            </w:r>
            <w:r>
              <w:rPr>
                <w:rFonts w:ascii="Arial" w:eastAsia="宋体" w:hAnsi="Arial" w:cs="Arial"/>
                <w:b/>
                <w:bCs/>
                <w:color w:val="333333"/>
                <w:sz w:val="18"/>
                <w:szCs w:val="18"/>
              </w:rPr>
              <w:t>agreements balance as of March 28, 2020</w:t>
            </w:r>
          </w:p>
        </w:tc>
        <w:tc>
          <w:tcPr>
            <w:tcW w:w="0" w:type="auto"/>
            <w:shd w:val="clear" w:color="auto" w:fill="auto"/>
            <w:tcMar>
              <w:top w:w="40" w:type="dxa"/>
              <w:left w:w="40" w:type="dxa"/>
              <w:bottom w:w="40" w:type="dxa"/>
              <w:right w:w="40" w:type="dxa"/>
            </w:tcMar>
            <w:vAlign w:val="bottom"/>
          </w:tcPr>
          <w:p w14:paraId="3750E12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125"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126"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1,718</w:t>
            </w:r>
          </w:p>
        </w:tc>
        <w:tc>
          <w:tcPr>
            <w:tcW w:w="0" w:type="auto"/>
            <w:tcBorders>
              <w:top w:val="single" w:sz="8" w:space="0" w:color="333333"/>
              <w:bottom w:val="double" w:sz="6" w:space="0" w:color="333333"/>
            </w:tcBorders>
            <w:shd w:val="clear" w:color="auto" w:fill="auto"/>
            <w:vAlign w:val="bottom"/>
          </w:tcPr>
          <w:p w14:paraId="3750E127" w14:textId="77777777" w:rsidR="002541AD" w:rsidRDefault="002541AD">
            <w:pPr>
              <w:textAlignment w:val="bottom"/>
              <w:rPr>
                <w:rFonts w:ascii="Times New Roman" w:hAnsi="Times New Roman"/>
                <w:sz w:val="20"/>
                <w:szCs w:val="20"/>
              </w:rPr>
            </w:pPr>
          </w:p>
        </w:tc>
      </w:tr>
    </w:tbl>
    <w:p w14:paraId="3750E129" w14:textId="77777777" w:rsidR="002541AD" w:rsidRDefault="002541AD">
      <w:pPr>
        <w:spacing w:line="288" w:lineRule="auto"/>
        <w:rPr>
          <w:rFonts w:ascii="Times New Roman" w:hAnsi="Times New Roman"/>
          <w:sz w:val="20"/>
          <w:szCs w:val="20"/>
        </w:rPr>
      </w:pPr>
    </w:p>
    <w:p w14:paraId="3750E12A"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If new long-term prepaid supply agreements are entered into and performance obligations are negotiated, this component of the contract liability balance will increase, and as customers purchase product and utilize their prepaid balances, the balance will d</w:t>
      </w:r>
      <w:r>
        <w:rPr>
          <w:rFonts w:ascii="Arial" w:eastAsia="宋体" w:hAnsi="Arial" w:cs="Arial"/>
          <w:color w:val="333333"/>
          <w:sz w:val="18"/>
          <w:szCs w:val="18"/>
        </w:rPr>
        <w:t xml:space="preserve">ecrease. </w:t>
      </w:r>
    </w:p>
    <w:p w14:paraId="3750E12B"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The timing and amount of future anticipated revenues from these agreements may vary from our expectations due to changes in supply, demand, and market pricing.</w:t>
      </w:r>
    </w:p>
    <w:tbl>
      <w:tblPr>
        <w:tblW w:w="5000" w:type="pct"/>
        <w:tblCellMar>
          <w:left w:w="0" w:type="dxa"/>
          <w:right w:w="0" w:type="dxa"/>
        </w:tblCellMar>
        <w:tblLook w:val="04A0" w:firstRow="1" w:lastRow="0" w:firstColumn="1" w:lastColumn="0" w:noHBand="0" w:noVBand="1"/>
      </w:tblPr>
      <w:tblGrid>
        <w:gridCol w:w="1080"/>
        <w:gridCol w:w="7226"/>
      </w:tblGrid>
      <w:tr w:rsidR="002541AD" w14:paraId="3750E12D" w14:textId="77777777">
        <w:tc>
          <w:tcPr>
            <w:tcW w:w="0" w:type="auto"/>
            <w:gridSpan w:val="2"/>
            <w:shd w:val="clear" w:color="auto" w:fill="auto"/>
            <w:vAlign w:val="center"/>
          </w:tcPr>
          <w:p w14:paraId="3750E12C" w14:textId="77777777" w:rsidR="002541AD" w:rsidRDefault="002541AD">
            <w:pPr>
              <w:rPr>
                <w:rFonts w:ascii="Times New Roman" w:hAnsi="Times New Roman"/>
                <w:sz w:val="20"/>
                <w:szCs w:val="20"/>
              </w:rPr>
            </w:pPr>
          </w:p>
        </w:tc>
      </w:tr>
      <w:tr w:rsidR="002541AD" w14:paraId="3750E130" w14:textId="77777777">
        <w:tc>
          <w:tcPr>
            <w:tcW w:w="650" w:type="pct"/>
            <w:shd w:val="clear" w:color="auto" w:fill="auto"/>
            <w:vAlign w:val="center"/>
          </w:tcPr>
          <w:p w14:paraId="3750E12E" w14:textId="77777777" w:rsidR="002541AD" w:rsidRDefault="002541AD">
            <w:pPr>
              <w:rPr>
                <w:rFonts w:ascii="Times New Roman" w:hAnsi="Times New Roman"/>
                <w:sz w:val="20"/>
                <w:szCs w:val="20"/>
              </w:rPr>
            </w:pPr>
          </w:p>
        </w:tc>
        <w:tc>
          <w:tcPr>
            <w:tcW w:w="4350" w:type="pct"/>
            <w:shd w:val="clear" w:color="auto" w:fill="auto"/>
            <w:vAlign w:val="center"/>
          </w:tcPr>
          <w:p w14:paraId="3750E12F" w14:textId="77777777" w:rsidR="002541AD" w:rsidRDefault="002541AD">
            <w:pPr>
              <w:rPr>
                <w:rFonts w:ascii="Times New Roman" w:hAnsi="Times New Roman"/>
                <w:sz w:val="20"/>
                <w:szCs w:val="20"/>
              </w:rPr>
            </w:pPr>
          </w:p>
        </w:tc>
      </w:tr>
      <w:tr w:rsidR="002541AD" w14:paraId="3750E133"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3750E131"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5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E132" w14:textId="77777777" w:rsidR="002541AD" w:rsidRDefault="00901AA6">
            <w:pPr>
              <w:textAlignment w:val="bottom"/>
              <w:rPr>
                <w:rFonts w:ascii="Times New Roman" w:hAnsi="Times New Roman"/>
                <w:sz w:val="28"/>
                <w:szCs w:val="28"/>
              </w:rPr>
            </w:pPr>
            <w:r>
              <w:rPr>
                <w:rFonts w:ascii="Arial" w:eastAsia="宋体" w:hAnsi="Arial" w:cs="Arial"/>
                <w:b/>
                <w:bCs/>
                <w:color w:val="0071C5"/>
                <w:sz w:val="28"/>
                <w:szCs w:val="28"/>
              </w:rPr>
              <w:t>OTHER FINANCIAL STATEMENT DETAILS</w:t>
            </w:r>
          </w:p>
        </w:tc>
      </w:tr>
    </w:tbl>
    <w:p w14:paraId="3750E134" w14:textId="77777777" w:rsidR="002541AD" w:rsidRDefault="002541AD">
      <w:pPr>
        <w:spacing w:line="288" w:lineRule="auto"/>
        <w:rPr>
          <w:rFonts w:ascii="Times New Roman" w:hAnsi="Times New Roman"/>
          <w:sz w:val="28"/>
          <w:szCs w:val="28"/>
        </w:rPr>
      </w:pPr>
    </w:p>
    <w:p w14:paraId="3750E135" w14:textId="77777777" w:rsidR="002541AD" w:rsidRDefault="00901AA6">
      <w:pPr>
        <w:spacing w:line="288" w:lineRule="auto"/>
        <w:rPr>
          <w:rFonts w:ascii="Times New Roman" w:hAnsi="Times New Roman"/>
        </w:rPr>
      </w:pPr>
      <w:r>
        <w:rPr>
          <w:rFonts w:ascii="Arial" w:eastAsia="宋体" w:hAnsi="Arial" w:cs="Arial"/>
          <w:b/>
          <w:bCs/>
          <w:color w:val="0071C5"/>
        </w:rPr>
        <w:t>INVENTORIES</w:t>
      </w:r>
    </w:p>
    <w:tbl>
      <w:tblPr>
        <w:tblW w:w="5000" w:type="pct"/>
        <w:tblCellMar>
          <w:left w:w="0" w:type="dxa"/>
          <w:right w:w="0" w:type="dxa"/>
        </w:tblCellMar>
        <w:tblLook w:val="04A0" w:firstRow="1" w:lastRow="0" w:firstColumn="1" w:lastColumn="0" w:noHBand="0" w:noVBand="1"/>
      </w:tblPr>
      <w:tblGrid>
        <w:gridCol w:w="6097"/>
        <w:gridCol w:w="130"/>
        <w:gridCol w:w="142"/>
        <w:gridCol w:w="782"/>
        <w:gridCol w:w="58"/>
        <w:gridCol w:w="130"/>
        <w:gridCol w:w="142"/>
        <w:gridCol w:w="766"/>
        <w:gridCol w:w="59"/>
      </w:tblGrid>
      <w:tr w:rsidR="002541AD" w14:paraId="3750E137" w14:textId="77777777">
        <w:tc>
          <w:tcPr>
            <w:tcW w:w="0" w:type="auto"/>
            <w:gridSpan w:val="9"/>
            <w:shd w:val="clear" w:color="auto" w:fill="auto"/>
            <w:vAlign w:val="center"/>
          </w:tcPr>
          <w:p w14:paraId="3750E136" w14:textId="77777777" w:rsidR="002541AD" w:rsidRDefault="002541AD">
            <w:pPr>
              <w:rPr>
                <w:rFonts w:ascii="Times New Roman" w:hAnsi="Times New Roman"/>
                <w:sz w:val="20"/>
                <w:szCs w:val="20"/>
              </w:rPr>
            </w:pPr>
          </w:p>
        </w:tc>
      </w:tr>
      <w:tr w:rsidR="002541AD" w14:paraId="3750E141" w14:textId="77777777">
        <w:tc>
          <w:tcPr>
            <w:tcW w:w="3700" w:type="pct"/>
            <w:shd w:val="clear" w:color="auto" w:fill="auto"/>
            <w:vAlign w:val="center"/>
          </w:tcPr>
          <w:p w14:paraId="3750E138" w14:textId="77777777" w:rsidR="002541AD" w:rsidRDefault="002541AD">
            <w:pPr>
              <w:rPr>
                <w:rFonts w:ascii="Times New Roman" w:hAnsi="Times New Roman"/>
                <w:sz w:val="20"/>
                <w:szCs w:val="20"/>
              </w:rPr>
            </w:pPr>
          </w:p>
        </w:tc>
        <w:tc>
          <w:tcPr>
            <w:tcW w:w="50" w:type="pct"/>
            <w:shd w:val="clear" w:color="auto" w:fill="auto"/>
            <w:vAlign w:val="center"/>
          </w:tcPr>
          <w:p w14:paraId="3750E139" w14:textId="77777777" w:rsidR="002541AD" w:rsidRDefault="002541AD">
            <w:pPr>
              <w:rPr>
                <w:rFonts w:ascii="Times New Roman" w:hAnsi="Times New Roman"/>
                <w:sz w:val="20"/>
                <w:szCs w:val="20"/>
              </w:rPr>
            </w:pPr>
          </w:p>
        </w:tc>
        <w:tc>
          <w:tcPr>
            <w:tcW w:w="50" w:type="pct"/>
            <w:shd w:val="clear" w:color="auto" w:fill="auto"/>
            <w:vAlign w:val="center"/>
          </w:tcPr>
          <w:p w14:paraId="3750E13A" w14:textId="77777777" w:rsidR="002541AD" w:rsidRDefault="002541AD">
            <w:pPr>
              <w:rPr>
                <w:rFonts w:ascii="Times New Roman" w:hAnsi="Times New Roman"/>
                <w:sz w:val="20"/>
                <w:szCs w:val="20"/>
              </w:rPr>
            </w:pPr>
          </w:p>
        </w:tc>
        <w:tc>
          <w:tcPr>
            <w:tcW w:w="500" w:type="pct"/>
            <w:shd w:val="clear" w:color="auto" w:fill="auto"/>
            <w:vAlign w:val="center"/>
          </w:tcPr>
          <w:p w14:paraId="3750E13B" w14:textId="77777777" w:rsidR="002541AD" w:rsidRDefault="002541AD">
            <w:pPr>
              <w:rPr>
                <w:rFonts w:ascii="Times New Roman" w:hAnsi="Times New Roman"/>
                <w:sz w:val="20"/>
                <w:szCs w:val="20"/>
              </w:rPr>
            </w:pPr>
          </w:p>
        </w:tc>
        <w:tc>
          <w:tcPr>
            <w:tcW w:w="50" w:type="pct"/>
            <w:shd w:val="clear" w:color="auto" w:fill="auto"/>
            <w:vAlign w:val="center"/>
          </w:tcPr>
          <w:p w14:paraId="3750E13C" w14:textId="77777777" w:rsidR="002541AD" w:rsidRDefault="002541AD">
            <w:pPr>
              <w:rPr>
                <w:rFonts w:ascii="Times New Roman" w:hAnsi="Times New Roman"/>
                <w:sz w:val="20"/>
                <w:szCs w:val="20"/>
              </w:rPr>
            </w:pPr>
          </w:p>
        </w:tc>
        <w:tc>
          <w:tcPr>
            <w:tcW w:w="50" w:type="pct"/>
            <w:shd w:val="clear" w:color="auto" w:fill="auto"/>
            <w:vAlign w:val="center"/>
          </w:tcPr>
          <w:p w14:paraId="3750E13D" w14:textId="77777777" w:rsidR="002541AD" w:rsidRDefault="002541AD">
            <w:pPr>
              <w:rPr>
                <w:rFonts w:ascii="Times New Roman" w:hAnsi="Times New Roman"/>
                <w:sz w:val="20"/>
                <w:szCs w:val="20"/>
              </w:rPr>
            </w:pPr>
          </w:p>
        </w:tc>
        <w:tc>
          <w:tcPr>
            <w:tcW w:w="50" w:type="pct"/>
            <w:shd w:val="clear" w:color="auto" w:fill="auto"/>
            <w:vAlign w:val="center"/>
          </w:tcPr>
          <w:p w14:paraId="3750E13E" w14:textId="77777777" w:rsidR="002541AD" w:rsidRDefault="002541AD">
            <w:pPr>
              <w:rPr>
                <w:rFonts w:ascii="Times New Roman" w:hAnsi="Times New Roman"/>
                <w:sz w:val="20"/>
                <w:szCs w:val="20"/>
              </w:rPr>
            </w:pPr>
          </w:p>
        </w:tc>
        <w:tc>
          <w:tcPr>
            <w:tcW w:w="500" w:type="pct"/>
            <w:shd w:val="clear" w:color="auto" w:fill="auto"/>
            <w:vAlign w:val="center"/>
          </w:tcPr>
          <w:p w14:paraId="3750E13F" w14:textId="77777777" w:rsidR="002541AD" w:rsidRDefault="002541AD">
            <w:pPr>
              <w:rPr>
                <w:rFonts w:ascii="Times New Roman" w:hAnsi="Times New Roman"/>
                <w:sz w:val="20"/>
                <w:szCs w:val="20"/>
              </w:rPr>
            </w:pPr>
          </w:p>
        </w:tc>
        <w:tc>
          <w:tcPr>
            <w:tcW w:w="50" w:type="pct"/>
            <w:shd w:val="clear" w:color="auto" w:fill="auto"/>
            <w:vAlign w:val="center"/>
          </w:tcPr>
          <w:p w14:paraId="3750E140" w14:textId="77777777" w:rsidR="002541AD" w:rsidRDefault="002541AD">
            <w:pPr>
              <w:rPr>
                <w:rFonts w:ascii="Times New Roman" w:hAnsi="Times New Roman"/>
                <w:sz w:val="20"/>
                <w:szCs w:val="20"/>
              </w:rPr>
            </w:pPr>
          </w:p>
        </w:tc>
      </w:tr>
      <w:tr w:rsidR="002541AD" w14:paraId="3750E147"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142"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 xml:space="preserve">(In </w:t>
            </w:r>
            <w:r>
              <w:rPr>
                <w:rFonts w:ascii="Arial" w:eastAsia="宋体" w:hAnsi="Arial" w:cs="Arial"/>
                <w:b/>
                <w:bCs/>
                <w:color w:val="333333"/>
                <w:sz w:val="18"/>
                <w:szCs w:val="18"/>
              </w:rPr>
              <w:t>Millions)</w:t>
            </w:r>
          </w:p>
        </w:tc>
        <w:tc>
          <w:tcPr>
            <w:tcW w:w="0" w:type="auto"/>
            <w:shd w:val="clear" w:color="auto" w:fill="auto"/>
            <w:tcMar>
              <w:top w:w="40" w:type="dxa"/>
              <w:left w:w="40" w:type="dxa"/>
              <w:bottom w:w="40" w:type="dxa"/>
              <w:right w:w="40" w:type="dxa"/>
            </w:tcMar>
            <w:vAlign w:val="bottom"/>
          </w:tcPr>
          <w:p w14:paraId="3750E14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144"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c>
          <w:tcPr>
            <w:tcW w:w="0" w:type="auto"/>
            <w:shd w:val="clear" w:color="auto" w:fill="auto"/>
            <w:tcMar>
              <w:top w:w="40" w:type="dxa"/>
              <w:left w:w="40" w:type="dxa"/>
              <w:bottom w:w="40" w:type="dxa"/>
              <w:right w:w="40" w:type="dxa"/>
            </w:tcMar>
            <w:vAlign w:val="bottom"/>
          </w:tcPr>
          <w:p w14:paraId="3750E14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146"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r>
      <w:tr w:rsidR="002541AD" w14:paraId="3750E151" w14:textId="77777777">
        <w:tc>
          <w:tcPr>
            <w:tcW w:w="0" w:type="auto"/>
            <w:shd w:val="clear" w:color="auto" w:fill="auto"/>
            <w:tcMar>
              <w:top w:w="40" w:type="dxa"/>
              <w:left w:w="40" w:type="dxa"/>
              <w:bottom w:w="40" w:type="dxa"/>
              <w:right w:w="40" w:type="dxa"/>
            </w:tcMar>
          </w:tcPr>
          <w:p w14:paraId="3750E148"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Raw materials</w:t>
            </w:r>
          </w:p>
        </w:tc>
        <w:tc>
          <w:tcPr>
            <w:tcW w:w="0" w:type="auto"/>
            <w:shd w:val="clear" w:color="auto" w:fill="auto"/>
            <w:tcMar>
              <w:top w:w="40" w:type="dxa"/>
              <w:left w:w="40" w:type="dxa"/>
              <w:bottom w:w="40" w:type="dxa"/>
              <w:right w:w="40" w:type="dxa"/>
            </w:tcMar>
            <w:vAlign w:val="bottom"/>
          </w:tcPr>
          <w:p w14:paraId="3750E14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3750E14A"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3750E14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877</w:t>
            </w:r>
          </w:p>
        </w:tc>
        <w:tc>
          <w:tcPr>
            <w:tcW w:w="0" w:type="auto"/>
            <w:tcBorders>
              <w:top w:val="single" w:sz="8" w:space="0" w:color="0071C5"/>
            </w:tcBorders>
            <w:shd w:val="clear" w:color="auto" w:fill="auto"/>
            <w:vAlign w:val="bottom"/>
          </w:tcPr>
          <w:p w14:paraId="3750E14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14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14E"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14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840</w:t>
            </w:r>
          </w:p>
        </w:tc>
        <w:tc>
          <w:tcPr>
            <w:tcW w:w="0" w:type="auto"/>
            <w:shd w:val="clear" w:color="auto" w:fill="auto"/>
            <w:vAlign w:val="bottom"/>
          </w:tcPr>
          <w:p w14:paraId="3750E150" w14:textId="77777777" w:rsidR="002541AD" w:rsidRDefault="002541AD">
            <w:pPr>
              <w:textAlignment w:val="bottom"/>
              <w:rPr>
                <w:rFonts w:ascii="Times New Roman" w:hAnsi="Times New Roman"/>
                <w:sz w:val="20"/>
                <w:szCs w:val="20"/>
              </w:rPr>
            </w:pPr>
          </w:p>
        </w:tc>
      </w:tr>
      <w:tr w:rsidR="002541AD" w14:paraId="3750E159" w14:textId="77777777">
        <w:tc>
          <w:tcPr>
            <w:tcW w:w="0" w:type="auto"/>
            <w:shd w:val="clear" w:color="auto" w:fill="auto"/>
            <w:tcMar>
              <w:top w:w="40" w:type="dxa"/>
              <w:left w:w="40" w:type="dxa"/>
              <w:bottom w:w="40" w:type="dxa"/>
              <w:right w:w="40" w:type="dxa"/>
            </w:tcMar>
          </w:tcPr>
          <w:p w14:paraId="3750E152"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Work in process</w:t>
            </w:r>
          </w:p>
        </w:tc>
        <w:tc>
          <w:tcPr>
            <w:tcW w:w="0" w:type="auto"/>
            <w:shd w:val="clear" w:color="auto" w:fill="auto"/>
            <w:tcMar>
              <w:top w:w="40" w:type="dxa"/>
              <w:left w:w="40" w:type="dxa"/>
              <w:bottom w:w="40" w:type="dxa"/>
              <w:right w:w="40" w:type="dxa"/>
            </w:tcMar>
            <w:vAlign w:val="bottom"/>
          </w:tcPr>
          <w:p w14:paraId="3750E15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154"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6,654</w:t>
            </w:r>
          </w:p>
        </w:tc>
        <w:tc>
          <w:tcPr>
            <w:tcW w:w="0" w:type="auto"/>
            <w:shd w:val="clear" w:color="auto" w:fill="auto"/>
            <w:vAlign w:val="bottom"/>
          </w:tcPr>
          <w:p w14:paraId="3750E15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15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157"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6,225</w:t>
            </w:r>
          </w:p>
        </w:tc>
        <w:tc>
          <w:tcPr>
            <w:tcW w:w="0" w:type="auto"/>
            <w:shd w:val="clear" w:color="auto" w:fill="auto"/>
            <w:vAlign w:val="bottom"/>
          </w:tcPr>
          <w:p w14:paraId="3750E158" w14:textId="77777777" w:rsidR="002541AD" w:rsidRDefault="002541AD">
            <w:pPr>
              <w:textAlignment w:val="bottom"/>
              <w:rPr>
                <w:rFonts w:ascii="Times New Roman" w:hAnsi="Times New Roman"/>
                <w:sz w:val="20"/>
                <w:szCs w:val="20"/>
              </w:rPr>
            </w:pPr>
          </w:p>
        </w:tc>
      </w:tr>
      <w:tr w:rsidR="002541AD" w14:paraId="3750E161" w14:textId="77777777">
        <w:tc>
          <w:tcPr>
            <w:tcW w:w="0" w:type="auto"/>
            <w:shd w:val="clear" w:color="auto" w:fill="auto"/>
            <w:tcMar>
              <w:top w:w="40" w:type="dxa"/>
              <w:left w:w="40" w:type="dxa"/>
              <w:bottom w:w="40" w:type="dxa"/>
              <w:right w:w="40" w:type="dxa"/>
            </w:tcMar>
          </w:tcPr>
          <w:p w14:paraId="3750E15A"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Finished goods</w:t>
            </w:r>
          </w:p>
        </w:tc>
        <w:tc>
          <w:tcPr>
            <w:tcW w:w="0" w:type="auto"/>
            <w:shd w:val="clear" w:color="auto" w:fill="auto"/>
            <w:tcMar>
              <w:top w:w="40" w:type="dxa"/>
              <w:left w:w="40" w:type="dxa"/>
              <w:bottom w:w="40" w:type="dxa"/>
              <w:right w:w="40" w:type="dxa"/>
            </w:tcMar>
            <w:vAlign w:val="bottom"/>
          </w:tcPr>
          <w:p w14:paraId="3750E15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15C"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1,715</w:t>
            </w:r>
          </w:p>
        </w:tc>
        <w:tc>
          <w:tcPr>
            <w:tcW w:w="0" w:type="auto"/>
            <w:shd w:val="clear" w:color="auto" w:fill="auto"/>
            <w:vAlign w:val="bottom"/>
          </w:tcPr>
          <w:p w14:paraId="3750E15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15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15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1,679</w:t>
            </w:r>
          </w:p>
        </w:tc>
        <w:tc>
          <w:tcPr>
            <w:tcW w:w="0" w:type="auto"/>
            <w:shd w:val="clear" w:color="auto" w:fill="auto"/>
            <w:vAlign w:val="bottom"/>
          </w:tcPr>
          <w:p w14:paraId="3750E160" w14:textId="77777777" w:rsidR="002541AD" w:rsidRDefault="002541AD">
            <w:pPr>
              <w:textAlignment w:val="bottom"/>
              <w:rPr>
                <w:rFonts w:ascii="Times New Roman" w:hAnsi="Times New Roman"/>
                <w:sz w:val="20"/>
                <w:szCs w:val="20"/>
              </w:rPr>
            </w:pPr>
          </w:p>
        </w:tc>
      </w:tr>
      <w:tr w:rsidR="002541AD" w14:paraId="3750E16B" w14:textId="77777777">
        <w:tc>
          <w:tcPr>
            <w:tcW w:w="0" w:type="auto"/>
            <w:shd w:val="clear" w:color="auto" w:fill="auto"/>
            <w:tcMar>
              <w:top w:w="40" w:type="dxa"/>
              <w:left w:w="40" w:type="dxa"/>
              <w:bottom w:w="40" w:type="dxa"/>
              <w:right w:w="40" w:type="dxa"/>
            </w:tcMar>
          </w:tcPr>
          <w:p w14:paraId="3750E162"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Total inventories</w:t>
            </w:r>
          </w:p>
        </w:tc>
        <w:tc>
          <w:tcPr>
            <w:tcW w:w="0" w:type="auto"/>
            <w:shd w:val="clear" w:color="auto" w:fill="auto"/>
            <w:tcMar>
              <w:top w:w="40" w:type="dxa"/>
              <w:left w:w="40" w:type="dxa"/>
              <w:bottom w:w="40" w:type="dxa"/>
              <w:right w:w="40" w:type="dxa"/>
            </w:tcMar>
            <w:vAlign w:val="bottom"/>
          </w:tcPr>
          <w:p w14:paraId="3750E16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164"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165"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9,246</w:t>
            </w:r>
          </w:p>
        </w:tc>
        <w:tc>
          <w:tcPr>
            <w:tcW w:w="0" w:type="auto"/>
            <w:tcBorders>
              <w:top w:val="single" w:sz="8" w:space="0" w:color="333333"/>
              <w:bottom w:val="double" w:sz="6" w:space="0" w:color="333333"/>
            </w:tcBorders>
            <w:shd w:val="clear" w:color="auto" w:fill="auto"/>
            <w:vAlign w:val="bottom"/>
          </w:tcPr>
          <w:p w14:paraId="3750E16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16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168"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169"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8,744</w:t>
            </w:r>
          </w:p>
        </w:tc>
        <w:tc>
          <w:tcPr>
            <w:tcW w:w="0" w:type="auto"/>
            <w:tcBorders>
              <w:top w:val="single" w:sz="8" w:space="0" w:color="333333"/>
              <w:bottom w:val="double" w:sz="6" w:space="0" w:color="333333"/>
            </w:tcBorders>
            <w:shd w:val="clear" w:color="auto" w:fill="auto"/>
            <w:vAlign w:val="bottom"/>
          </w:tcPr>
          <w:p w14:paraId="3750E16A" w14:textId="77777777" w:rsidR="002541AD" w:rsidRDefault="002541AD">
            <w:pPr>
              <w:textAlignment w:val="bottom"/>
              <w:rPr>
                <w:rFonts w:ascii="Times New Roman" w:hAnsi="Times New Roman"/>
                <w:sz w:val="20"/>
                <w:szCs w:val="20"/>
              </w:rPr>
            </w:pPr>
          </w:p>
        </w:tc>
      </w:tr>
    </w:tbl>
    <w:p w14:paraId="3750E16C" w14:textId="77777777" w:rsidR="002541AD" w:rsidRDefault="002541AD">
      <w:pPr>
        <w:spacing w:line="288" w:lineRule="auto"/>
        <w:rPr>
          <w:rFonts w:ascii="Times New Roman" w:hAnsi="Times New Roman"/>
          <w:sz w:val="20"/>
          <w:szCs w:val="20"/>
        </w:rPr>
      </w:pPr>
    </w:p>
    <w:p w14:paraId="3750E16D" w14:textId="77777777" w:rsidR="002541AD" w:rsidRDefault="00901AA6">
      <w:pPr>
        <w:spacing w:line="288" w:lineRule="auto"/>
        <w:rPr>
          <w:rFonts w:ascii="Times New Roman" w:hAnsi="Times New Roman"/>
        </w:rPr>
      </w:pPr>
      <w:r>
        <w:rPr>
          <w:rFonts w:ascii="Arial" w:eastAsia="宋体" w:hAnsi="Arial" w:cs="Arial"/>
          <w:b/>
          <w:bCs/>
          <w:color w:val="0071C5"/>
        </w:rPr>
        <w:t>INTEREST AND OTHER, NET</w:t>
      </w:r>
    </w:p>
    <w:p w14:paraId="3750E16E" w14:textId="77777777" w:rsidR="002541AD" w:rsidRDefault="00901AA6">
      <w:pPr>
        <w:spacing w:line="288" w:lineRule="auto"/>
        <w:rPr>
          <w:rFonts w:ascii="Times New Roman" w:hAnsi="Times New Roman"/>
          <w:sz w:val="20"/>
          <w:szCs w:val="20"/>
        </w:rPr>
      </w:pPr>
      <w:r>
        <w:rPr>
          <w:rFonts w:ascii="Arial" w:eastAsia="宋体" w:hAnsi="Arial" w:cs="Arial"/>
          <w:color w:val="333333"/>
          <w:sz w:val="18"/>
          <w:szCs w:val="18"/>
        </w:rPr>
        <w:t xml:space="preserve">The components of interest and other, net </w:t>
      </w:r>
      <w:r>
        <w:rPr>
          <w:rFonts w:ascii="Arial" w:eastAsia="宋体" w:hAnsi="Arial" w:cs="Arial"/>
          <w:color w:val="333333"/>
          <w:sz w:val="18"/>
          <w:szCs w:val="18"/>
        </w:rPr>
        <w:t>for each period were as follows:</w:t>
      </w:r>
    </w:p>
    <w:tbl>
      <w:tblPr>
        <w:tblW w:w="5000" w:type="pct"/>
        <w:tblCellMar>
          <w:left w:w="0" w:type="dxa"/>
          <w:right w:w="0" w:type="dxa"/>
        </w:tblCellMar>
        <w:tblLook w:val="04A0" w:firstRow="1" w:lastRow="0" w:firstColumn="1" w:lastColumn="0" w:noHBand="0" w:noVBand="1"/>
      </w:tblPr>
      <w:tblGrid>
        <w:gridCol w:w="6063"/>
        <w:gridCol w:w="130"/>
        <w:gridCol w:w="142"/>
        <w:gridCol w:w="748"/>
        <w:gridCol w:w="101"/>
        <w:gridCol w:w="130"/>
        <w:gridCol w:w="142"/>
        <w:gridCol w:w="749"/>
        <w:gridCol w:w="101"/>
      </w:tblGrid>
      <w:tr w:rsidR="002541AD" w14:paraId="3750E170" w14:textId="77777777">
        <w:tc>
          <w:tcPr>
            <w:tcW w:w="0" w:type="auto"/>
            <w:gridSpan w:val="9"/>
            <w:shd w:val="clear" w:color="auto" w:fill="auto"/>
            <w:vAlign w:val="center"/>
          </w:tcPr>
          <w:p w14:paraId="3750E16F" w14:textId="77777777" w:rsidR="002541AD" w:rsidRDefault="002541AD">
            <w:pPr>
              <w:rPr>
                <w:rFonts w:ascii="Times New Roman" w:hAnsi="Times New Roman"/>
                <w:sz w:val="20"/>
                <w:szCs w:val="20"/>
              </w:rPr>
            </w:pPr>
          </w:p>
        </w:tc>
      </w:tr>
      <w:tr w:rsidR="002541AD" w14:paraId="3750E17A" w14:textId="77777777">
        <w:tc>
          <w:tcPr>
            <w:tcW w:w="3700" w:type="pct"/>
            <w:shd w:val="clear" w:color="auto" w:fill="auto"/>
            <w:vAlign w:val="center"/>
          </w:tcPr>
          <w:p w14:paraId="3750E171" w14:textId="77777777" w:rsidR="002541AD" w:rsidRDefault="002541AD">
            <w:pPr>
              <w:rPr>
                <w:rFonts w:ascii="Times New Roman" w:hAnsi="Times New Roman"/>
                <w:sz w:val="20"/>
                <w:szCs w:val="20"/>
              </w:rPr>
            </w:pPr>
          </w:p>
        </w:tc>
        <w:tc>
          <w:tcPr>
            <w:tcW w:w="50" w:type="pct"/>
            <w:shd w:val="clear" w:color="auto" w:fill="auto"/>
            <w:vAlign w:val="center"/>
          </w:tcPr>
          <w:p w14:paraId="3750E172" w14:textId="77777777" w:rsidR="002541AD" w:rsidRDefault="002541AD">
            <w:pPr>
              <w:rPr>
                <w:rFonts w:ascii="Times New Roman" w:hAnsi="Times New Roman"/>
                <w:sz w:val="20"/>
                <w:szCs w:val="20"/>
              </w:rPr>
            </w:pPr>
          </w:p>
        </w:tc>
        <w:tc>
          <w:tcPr>
            <w:tcW w:w="50" w:type="pct"/>
            <w:shd w:val="clear" w:color="auto" w:fill="auto"/>
            <w:vAlign w:val="center"/>
          </w:tcPr>
          <w:p w14:paraId="3750E173" w14:textId="77777777" w:rsidR="002541AD" w:rsidRDefault="002541AD">
            <w:pPr>
              <w:rPr>
                <w:rFonts w:ascii="Times New Roman" w:hAnsi="Times New Roman"/>
                <w:sz w:val="20"/>
                <w:szCs w:val="20"/>
              </w:rPr>
            </w:pPr>
          </w:p>
        </w:tc>
        <w:tc>
          <w:tcPr>
            <w:tcW w:w="500" w:type="pct"/>
            <w:shd w:val="clear" w:color="auto" w:fill="auto"/>
            <w:vAlign w:val="center"/>
          </w:tcPr>
          <w:p w14:paraId="3750E174" w14:textId="77777777" w:rsidR="002541AD" w:rsidRDefault="002541AD">
            <w:pPr>
              <w:rPr>
                <w:rFonts w:ascii="Times New Roman" w:hAnsi="Times New Roman"/>
                <w:sz w:val="20"/>
                <w:szCs w:val="20"/>
              </w:rPr>
            </w:pPr>
          </w:p>
        </w:tc>
        <w:tc>
          <w:tcPr>
            <w:tcW w:w="50" w:type="pct"/>
            <w:shd w:val="clear" w:color="auto" w:fill="auto"/>
            <w:vAlign w:val="center"/>
          </w:tcPr>
          <w:p w14:paraId="3750E175" w14:textId="77777777" w:rsidR="002541AD" w:rsidRDefault="002541AD">
            <w:pPr>
              <w:rPr>
                <w:rFonts w:ascii="Times New Roman" w:hAnsi="Times New Roman"/>
                <w:sz w:val="20"/>
                <w:szCs w:val="20"/>
              </w:rPr>
            </w:pPr>
          </w:p>
        </w:tc>
        <w:tc>
          <w:tcPr>
            <w:tcW w:w="50" w:type="pct"/>
            <w:shd w:val="clear" w:color="auto" w:fill="auto"/>
            <w:vAlign w:val="center"/>
          </w:tcPr>
          <w:p w14:paraId="3750E176" w14:textId="77777777" w:rsidR="002541AD" w:rsidRDefault="002541AD">
            <w:pPr>
              <w:rPr>
                <w:rFonts w:ascii="Times New Roman" w:hAnsi="Times New Roman"/>
                <w:sz w:val="20"/>
                <w:szCs w:val="20"/>
              </w:rPr>
            </w:pPr>
          </w:p>
        </w:tc>
        <w:tc>
          <w:tcPr>
            <w:tcW w:w="50" w:type="pct"/>
            <w:shd w:val="clear" w:color="auto" w:fill="auto"/>
            <w:vAlign w:val="center"/>
          </w:tcPr>
          <w:p w14:paraId="3750E177" w14:textId="77777777" w:rsidR="002541AD" w:rsidRDefault="002541AD">
            <w:pPr>
              <w:rPr>
                <w:rFonts w:ascii="Times New Roman" w:hAnsi="Times New Roman"/>
                <w:sz w:val="20"/>
                <w:szCs w:val="20"/>
              </w:rPr>
            </w:pPr>
          </w:p>
        </w:tc>
        <w:tc>
          <w:tcPr>
            <w:tcW w:w="500" w:type="pct"/>
            <w:shd w:val="clear" w:color="auto" w:fill="auto"/>
            <w:vAlign w:val="center"/>
          </w:tcPr>
          <w:p w14:paraId="3750E178" w14:textId="77777777" w:rsidR="002541AD" w:rsidRDefault="002541AD">
            <w:pPr>
              <w:rPr>
                <w:rFonts w:ascii="Times New Roman" w:hAnsi="Times New Roman"/>
                <w:sz w:val="20"/>
                <w:szCs w:val="20"/>
              </w:rPr>
            </w:pPr>
          </w:p>
        </w:tc>
        <w:tc>
          <w:tcPr>
            <w:tcW w:w="50" w:type="pct"/>
            <w:shd w:val="clear" w:color="auto" w:fill="auto"/>
            <w:vAlign w:val="center"/>
          </w:tcPr>
          <w:p w14:paraId="3750E179" w14:textId="77777777" w:rsidR="002541AD" w:rsidRDefault="002541AD">
            <w:pPr>
              <w:rPr>
                <w:rFonts w:ascii="Times New Roman" w:hAnsi="Times New Roman"/>
                <w:sz w:val="20"/>
                <w:szCs w:val="20"/>
              </w:rPr>
            </w:pPr>
          </w:p>
        </w:tc>
      </w:tr>
      <w:tr w:rsidR="002541AD" w14:paraId="3750E17E" w14:textId="77777777">
        <w:tc>
          <w:tcPr>
            <w:tcW w:w="0" w:type="auto"/>
            <w:shd w:val="clear" w:color="auto" w:fill="auto"/>
            <w:tcMar>
              <w:top w:w="40" w:type="dxa"/>
              <w:left w:w="40" w:type="dxa"/>
              <w:bottom w:w="40" w:type="dxa"/>
              <w:right w:w="40" w:type="dxa"/>
            </w:tcMar>
            <w:vAlign w:val="bottom"/>
          </w:tcPr>
          <w:p w14:paraId="3750E17B" w14:textId="77777777" w:rsidR="002541AD" w:rsidRDefault="00901AA6">
            <w:pPr>
              <w:ind w:hanging="240"/>
              <w:textAlignment w:val="bottom"/>
              <w:rPr>
                <w:rFonts w:ascii="Times New Roman" w:hAnsi="Times New Roman"/>
                <w:sz w:val="16"/>
                <w:szCs w:val="16"/>
              </w:rPr>
            </w:pPr>
            <w:r>
              <w:rPr>
                <w:rFonts w:ascii="Arial" w:eastAsia="宋体" w:hAnsi="Arial" w:cs="Arial"/>
                <w:color w:val="333333"/>
                <w:sz w:val="16"/>
                <w:szCs w:val="16"/>
              </w:rPr>
              <w:t> </w:t>
            </w:r>
          </w:p>
        </w:tc>
        <w:tc>
          <w:tcPr>
            <w:tcW w:w="0" w:type="auto"/>
            <w:shd w:val="clear" w:color="auto" w:fill="auto"/>
            <w:tcMar>
              <w:top w:w="40" w:type="dxa"/>
              <w:left w:w="40" w:type="dxa"/>
              <w:bottom w:w="40" w:type="dxa"/>
              <w:right w:w="40" w:type="dxa"/>
            </w:tcMar>
            <w:vAlign w:val="bottom"/>
          </w:tcPr>
          <w:p w14:paraId="3750E17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3750E17D"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Three Months Ended</w:t>
            </w:r>
          </w:p>
        </w:tc>
      </w:tr>
      <w:tr w:rsidR="002541AD" w14:paraId="3750E184"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17F"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E18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181"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c>
          <w:tcPr>
            <w:tcW w:w="0" w:type="auto"/>
            <w:shd w:val="clear" w:color="auto" w:fill="auto"/>
            <w:tcMar>
              <w:top w:w="40" w:type="dxa"/>
              <w:left w:w="40" w:type="dxa"/>
              <w:bottom w:w="40" w:type="dxa"/>
              <w:right w:w="40" w:type="dxa"/>
            </w:tcMar>
            <w:vAlign w:val="bottom"/>
          </w:tcPr>
          <w:p w14:paraId="3750E18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183"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30, </w:t>
            </w:r>
            <w:r>
              <w:rPr>
                <w:rFonts w:ascii="Arial" w:eastAsia="宋体" w:hAnsi="Arial" w:cs="Arial"/>
                <w:b/>
                <w:bCs/>
                <w:color w:val="333333"/>
                <w:sz w:val="18"/>
                <w:szCs w:val="18"/>
              </w:rPr>
              <w:br/>
              <w:t>2019</w:t>
            </w:r>
          </w:p>
        </w:tc>
      </w:tr>
      <w:tr w:rsidR="002541AD" w14:paraId="3750E18E" w14:textId="77777777">
        <w:tc>
          <w:tcPr>
            <w:tcW w:w="0" w:type="auto"/>
            <w:shd w:val="clear" w:color="auto" w:fill="auto"/>
            <w:tcMar>
              <w:top w:w="40" w:type="dxa"/>
              <w:left w:w="40" w:type="dxa"/>
              <w:bottom w:w="40" w:type="dxa"/>
              <w:right w:w="40" w:type="dxa"/>
            </w:tcMar>
          </w:tcPr>
          <w:p w14:paraId="3750E185"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Interest income</w:t>
            </w:r>
          </w:p>
        </w:tc>
        <w:tc>
          <w:tcPr>
            <w:tcW w:w="0" w:type="auto"/>
            <w:shd w:val="clear" w:color="auto" w:fill="auto"/>
            <w:tcMar>
              <w:top w:w="40" w:type="dxa"/>
              <w:left w:w="40" w:type="dxa"/>
              <w:bottom w:w="40" w:type="dxa"/>
              <w:right w:w="40" w:type="dxa"/>
            </w:tcMar>
            <w:vAlign w:val="bottom"/>
          </w:tcPr>
          <w:p w14:paraId="3750E18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3750E187" w14:textId="77777777" w:rsidR="002541AD" w:rsidRDefault="00901AA6">
            <w:pPr>
              <w:textAlignment w:val="bottom"/>
              <w:rPr>
                <w:rFonts w:ascii="Times New Roman" w:hAnsi="Times New Roman"/>
                <w:sz w:val="18"/>
                <w:szCs w:val="18"/>
              </w:rPr>
            </w:pPr>
            <w:r>
              <w:rPr>
                <w:rFonts w:ascii="Arial" w:eastAsia="宋体" w:hAnsi="Arial" w:cs="Arial"/>
                <w:color w:val="006EBF"/>
                <w:sz w:val="18"/>
                <w:szCs w:val="18"/>
              </w:rPr>
              <w:t>$</w:t>
            </w:r>
          </w:p>
        </w:tc>
        <w:tc>
          <w:tcPr>
            <w:tcW w:w="0" w:type="auto"/>
            <w:tcBorders>
              <w:top w:val="single" w:sz="8" w:space="0" w:color="0071C5"/>
            </w:tcBorders>
            <w:shd w:val="clear" w:color="auto" w:fill="auto"/>
            <w:tcMar>
              <w:top w:w="40" w:type="dxa"/>
              <w:bottom w:w="40" w:type="dxa"/>
            </w:tcMar>
            <w:vAlign w:val="bottom"/>
          </w:tcPr>
          <w:p w14:paraId="3750E188" w14:textId="77777777" w:rsidR="002541AD" w:rsidRDefault="00901AA6">
            <w:pPr>
              <w:jc w:val="right"/>
              <w:textAlignment w:val="bottom"/>
              <w:rPr>
                <w:rFonts w:ascii="Times New Roman" w:hAnsi="Times New Roman"/>
                <w:sz w:val="18"/>
                <w:szCs w:val="18"/>
              </w:rPr>
            </w:pPr>
            <w:r>
              <w:rPr>
                <w:rFonts w:ascii="Arial" w:eastAsia="宋体" w:hAnsi="Arial" w:cs="Arial"/>
                <w:color w:val="006EBF"/>
                <w:sz w:val="18"/>
                <w:szCs w:val="18"/>
              </w:rPr>
              <w:t>93</w:t>
            </w:r>
          </w:p>
        </w:tc>
        <w:tc>
          <w:tcPr>
            <w:tcW w:w="0" w:type="auto"/>
            <w:tcBorders>
              <w:top w:val="single" w:sz="8" w:space="0" w:color="0071C5"/>
            </w:tcBorders>
            <w:shd w:val="clear" w:color="auto" w:fill="auto"/>
            <w:vAlign w:val="bottom"/>
          </w:tcPr>
          <w:p w14:paraId="3750E189"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18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18B"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18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135</w:t>
            </w:r>
          </w:p>
        </w:tc>
        <w:tc>
          <w:tcPr>
            <w:tcW w:w="0" w:type="auto"/>
            <w:shd w:val="clear" w:color="auto" w:fill="auto"/>
            <w:vAlign w:val="bottom"/>
          </w:tcPr>
          <w:p w14:paraId="3750E18D" w14:textId="77777777" w:rsidR="002541AD" w:rsidRDefault="002541AD">
            <w:pPr>
              <w:textAlignment w:val="bottom"/>
              <w:rPr>
                <w:rFonts w:ascii="Times New Roman" w:hAnsi="Times New Roman"/>
                <w:sz w:val="20"/>
                <w:szCs w:val="20"/>
              </w:rPr>
            </w:pPr>
          </w:p>
        </w:tc>
      </w:tr>
      <w:tr w:rsidR="002541AD" w14:paraId="3750E196" w14:textId="77777777">
        <w:tc>
          <w:tcPr>
            <w:tcW w:w="0" w:type="auto"/>
            <w:shd w:val="clear" w:color="auto" w:fill="auto"/>
            <w:tcMar>
              <w:top w:w="40" w:type="dxa"/>
              <w:left w:w="40" w:type="dxa"/>
              <w:bottom w:w="40" w:type="dxa"/>
              <w:right w:w="40" w:type="dxa"/>
            </w:tcMar>
          </w:tcPr>
          <w:p w14:paraId="3750E18F"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Interest expense</w:t>
            </w:r>
          </w:p>
        </w:tc>
        <w:tc>
          <w:tcPr>
            <w:tcW w:w="0" w:type="auto"/>
            <w:shd w:val="clear" w:color="auto" w:fill="auto"/>
            <w:tcMar>
              <w:top w:w="40" w:type="dxa"/>
              <w:left w:w="40" w:type="dxa"/>
              <w:bottom w:w="40" w:type="dxa"/>
              <w:right w:w="40" w:type="dxa"/>
            </w:tcMar>
            <w:vAlign w:val="bottom"/>
          </w:tcPr>
          <w:p w14:paraId="3750E19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191" w14:textId="77777777" w:rsidR="002541AD" w:rsidRDefault="00901AA6">
            <w:pPr>
              <w:jc w:val="right"/>
              <w:textAlignment w:val="bottom"/>
              <w:rPr>
                <w:rFonts w:ascii="Times New Roman" w:hAnsi="Times New Roman"/>
                <w:sz w:val="18"/>
                <w:szCs w:val="18"/>
              </w:rPr>
            </w:pPr>
            <w:r>
              <w:rPr>
                <w:rFonts w:ascii="Arial" w:eastAsia="宋体" w:hAnsi="Arial" w:cs="Arial"/>
                <w:color w:val="006EBF"/>
                <w:sz w:val="18"/>
                <w:szCs w:val="18"/>
              </w:rPr>
              <w:t>(135</w:t>
            </w:r>
          </w:p>
        </w:tc>
        <w:tc>
          <w:tcPr>
            <w:tcW w:w="0" w:type="auto"/>
            <w:shd w:val="clear" w:color="auto" w:fill="auto"/>
            <w:tcMar>
              <w:top w:w="40" w:type="dxa"/>
              <w:bottom w:w="40" w:type="dxa"/>
              <w:right w:w="40" w:type="dxa"/>
            </w:tcMar>
            <w:vAlign w:val="bottom"/>
          </w:tcPr>
          <w:p w14:paraId="3750E192" w14:textId="77777777" w:rsidR="002541AD" w:rsidRDefault="00901AA6">
            <w:pPr>
              <w:textAlignment w:val="bottom"/>
              <w:rPr>
                <w:rFonts w:ascii="Times New Roman" w:hAnsi="Times New Roman"/>
                <w:sz w:val="18"/>
                <w:szCs w:val="18"/>
              </w:rPr>
            </w:pPr>
            <w:r>
              <w:rPr>
                <w:rFonts w:ascii="Arial" w:eastAsia="宋体" w:hAnsi="Arial" w:cs="Arial"/>
                <w:color w:val="006EBF"/>
                <w:sz w:val="18"/>
                <w:szCs w:val="18"/>
              </w:rPr>
              <w:t>)</w:t>
            </w:r>
          </w:p>
        </w:tc>
        <w:tc>
          <w:tcPr>
            <w:tcW w:w="0" w:type="auto"/>
            <w:shd w:val="clear" w:color="auto" w:fill="auto"/>
            <w:tcMar>
              <w:top w:w="40" w:type="dxa"/>
              <w:left w:w="40" w:type="dxa"/>
              <w:bottom w:w="40" w:type="dxa"/>
              <w:right w:w="40" w:type="dxa"/>
            </w:tcMar>
            <w:vAlign w:val="bottom"/>
          </w:tcPr>
          <w:p w14:paraId="3750E19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19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(138</w:t>
            </w:r>
          </w:p>
        </w:tc>
        <w:tc>
          <w:tcPr>
            <w:tcW w:w="0" w:type="auto"/>
            <w:shd w:val="clear" w:color="auto" w:fill="auto"/>
            <w:tcMar>
              <w:top w:w="40" w:type="dxa"/>
              <w:bottom w:w="40" w:type="dxa"/>
              <w:right w:w="40" w:type="dxa"/>
            </w:tcMar>
            <w:vAlign w:val="bottom"/>
          </w:tcPr>
          <w:p w14:paraId="3750E195"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E19E" w14:textId="77777777">
        <w:tc>
          <w:tcPr>
            <w:tcW w:w="0" w:type="auto"/>
            <w:shd w:val="clear" w:color="auto" w:fill="auto"/>
            <w:tcMar>
              <w:top w:w="40" w:type="dxa"/>
              <w:left w:w="40" w:type="dxa"/>
              <w:bottom w:w="40" w:type="dxa"/>
              <w:right w:w="40" w:type="dxa"/>
            </w:tcMar>
          </w:tcPr>
          <w:p w14:paraId="3750E197"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Other, net</w:t>
            </w:r>
          </w:p>
        </w:tc>
        <w:tc>
          <w:tcPr>
            <w:tcW w:w="0" w:type="auto"/>
            <w:shd w:val="clear" w:color="auto" w:fill="auto"/>
            <w:tcMar>
              <w:top w:w="40" w:type="dxa"/>
              <w:left w:w="40" w:type="dxa"/>
              <w:bottom w:w="40" w:type="dxa"/>
              <w:right w:w="40" w:type="dxa"/>
            </w:tcMar>
            <w:vAlign w:val="bottom"/>
          </w:tcPr>
          <w:p w14:paraId="3750E19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199" w14:textId="77777777" w:rsidR="002541AD" w:rsidRDefault="00901AA6">
            <w:pPr>
              <w:jc w:val="right"/>
              <w:textAlignment w:val="bottom"/>
              <w:rPr>
                <w:rFonts w:ascii="Times New Roman" w:hAnsi="Times New Roman"/>
                <w:sz w:val="18"/>
                <w:szCs w:val="18"/>
              </w:rPr>
            </w:pPr>
            <w:r>
              <w:rPr>
                <w:rFonts w:ascii="Arial" w:eastAsia="宋体" w:hAnsi="Arial" w:cs="Arial"/>
                <w:color w:val="006EBF"/>
                <w:sz w:val="18"/>
                <w:szCs w:val="18"/>
              </w:rPr>
              <w:t>(271</w:t>
            </w:r>
          </w:p>
        </w:tc>
        <w:tc>
          <w:tcPr>
            <w:tcW w:w="0" w:type="auto"/>
            <w:shd w:val="clear" w:color="auto" w:fill="auto"/>
            <w:tcMar>
              <w:top w:w="40" w:type="dxa"/>
              <w:bottom w:w="40" w:type="dxa"/>
              <w:right w:w="40" w:type="dxa"/>
            </w:tcMar>
            <w:vAlign w:val="bottom"/>
          </w:tcPr>
          <w:p w14:paraId="3750E19A" w14:textId="77777777" w:rsidR="002541AD" w:rsidRDefault="00901AA6">
            <w:pPr>
              <w:textAlignment w:val="bottom"/>
              <w:rPr>
                <w:rFonts w:ascii="Times New Roman" w:hAnsi="Times New Roman"/>
                <w:sz w:val="18"/>
                <w:szCs w:val="18"/>
              </w:rPr>
            </w:pPr>
            <w:r>
              <w:rPr>
                <w:rFonts w:ascii="Arial" w:eastAsia="宋体" w:hAnsi="Arial" w:cs="Arial"/>
                <w:color w:val="006EBF"/>
                <w:sz w:val="18"/>
                <w:szCs w:val="18"/>
              </w:rPr>
              <w:t>)</w:t>
            </w:r>
          </w:p>
        </w:tc>
        <w:tc>
          <w:tcPr>
            <w:tcW w:w="0" w:type="auto"/>
            <w:shd w:val="clear" w:color="auto" w:fill="auto"/>
            <w:tcMar>
              <w:top w:w="40" w:type="dxa"/>
              <w:left w:w="40" w:type="dxa"/>
              <w:bottom w:w="40" w:type="dxa"/>
              <w:right w:w="40" w:type="dxa"/>
            </w:tcMar>
            <w:vAlign w:val="bottom"/>
          </w:tcPr>
          <w:p w14:paraId="3750E19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19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(58</w:t>
            </w:r>
          </w:p>
        </w:tc>
        <w:tc>
          <w:tcPr>
            <w:tcW w:w="0" w:type="auto"/>
            <w:shd w:val="clear" w:color="auto" w:fill="auto"/>
            <w:tcMar>
              <w:top w:w="40" w:type="dxa"/>
              <w:bottom w:w="40" w:type="dxa"/>
              <w:right w:w="40" w:type="dxa"/>
            </w:tcMar>
            <w:vAlign w:val="bottom"/>
          </w:tcPr>
          <w:p w14:paraId="3750E19D"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E1A8" w14:textId="77777777">
        <w:tc>
          <w:tcPr>
            <w:tcW w:w="0" w:type="auto"/>
            <w:shd w:val="clear" w:color="auto" w:fill="auto"/>
            <w:tcMar>
              <w:top w:w="40" w:type="dxa"/>
              <w:left w:w="40" w:type="dxa"/>
              <w:bottom w:w="40" w:type="dxa"/>
              <w:right w:w="40" w:type="dxa"/>
            </w:tcMar>
          </w:tcPr>
          <w:p w14:paraId="3750E19F"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Total interest and other, net</w:t>
            </w:r>
          </w:p>
        </w:tc>
        <w:tc>
          <w:tcPr>
            <w:tcW w:w="0" w:type="auto"/>
            <w:shd w:val="clear" w:color="auto" w:fill="auto"/>
            <w:tcMar>
              <w:top w:w="40" w:type="dxa"/>
              <w:left w:w="40" w:type="dxa"/>
              <w:bottom w:w="40" w:type="dxa"/>
              <w:right w:w="40" w:type="dxa"/>
            </w:tcMar>
            <w:vAlign w:val="bottom"/>
          </w:tcPr>
          <w:p w14:paraId="3750E1A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1A1"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1A2"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(313</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E1A3"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3750E1A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1A5"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1A6"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(61</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E1A7"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r>
    </w:tbl>
    <w:p w14:paraId="3750E1A9" w14:textId="77777777" w:rsidR="002541AD" w:rsidRDefault="002541AD"/>
    <w:p w14:paraId="3750E1AA"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Interest expense in the preceding table is net of $83 million of interest capitalized in the first three months of 2020 ($125 million in the first three months of 2019).</w:t>
      </w:r>
    </w:p>
    <w:p w14:paraId="3750E1AB"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E1AD" w14:textId="77777777">
        <w:tc>
          <w:tcPr>
            <w:tcW w:w="0" w:type="auto"/>
            <w:gridSpan w:val="3"/>
            <w:shd w:val="clear" w:color="auto" w:fill="auto"/>
            <w:vAlign w:val="center"/>
          </w:tcPr>
          <w:p w14:paraId="3750E1AC" w14:textId="77777777" w:rsidR="002541AD" w:rsidRDefault="002541AD">
            <w:pPr>
              <w:rPr>
                <w:rFonts w:ascii="Times New Roman" w:hAnsi="Times New Roman"/>
                <w:sz w:val="20"/>
                <w:szCs w:val="20"/>
              </w:rPr>
            </w:pPr>
          </w:p>
        </w:tc>
      </w:tr>
      <w:tr w:rsidR="002541AD" w14:paraId="3750E1B1" w14:textId="77777777">
        <w:tc>
          <w:tcPr>
            <w:tcW w:w="1550" w:type="pct"/>
            <w:shd w:val="clear" w:color="auto" w:fill="auto"/>
            <w:vAlign w:val="center"/>
          </w:tcPr>
          <w:p w14:paraId="3750E1AE" w14:textId="77777777" w:rsidR="002541AD" w:rsidRDefault="002541AD">
            <w:pPr>
              <w:rPr>
                <w:rFonts w:ascii="Times New Roman" w:hAnsi="Times New Roman"/>
                <w:sz w:val="20"/>
                <w:szCs w:val="20"/>
              </w:rPr>
            </w:pPr>
          </w:p>
        </w:tc>
        <w:tc>
          <w:tcPr>
            <w:tcW w:w="2200" w:type="pct"/>
            <w:shd w:val="clear" w:color="auto" w:fill="auto"/>
            <w:vAlign w:val="center"/>
          </w:tcPr>
          <w:p w14:paraId="3750E1AF" w14:textId="77777777" w:rsidR="002541AD" w:rsidRDefault="002541AD">
            <w:pPr>
              <w:rPr>
                <w:rFonts w:ascii="Times New Roman" w:hAnsi="Times New Roman"/>
                <w:sz w:val="20"/>
                <w:szCs w:val="20"/>
              </w:rPr>
            </w:pPr>
          </w:p>
        </w:tc>
        <w:tc>
          <w:tcPr>
            <w:tcW w:w="1250" w:type="pct"/>
            <w:shd w:val="clear" w:color="auto" w:fill="auto"/>
            <w:vAlign w:val="center"/>
          </w:tcPr>
          <w:p w14:paraId="3750E1B0" w14:textId="77777777" w:rsidR="002541AD" w:rsidRDefault="002541AD">
            <w:pPr>
              <w:rPr>
                <w:rFonts w:ascii="Times New Roman" w:hAnsi="Times New Roman"/>
                <w:sz w:val="20"/>
                <w:szCs w:val="20"/>
              </w:rPr>
            </w:pPr>
          </w:p>
        </w:tc>
      </w:tr>
      <w:tr w:rsidR="002541AD" w14:paraId="3750E1B5" w14:textId="77777777">
        <w:tc>
          <w:tcPr>
            <w:tcW w:w="0" w:type="auto"/>
            <w:tcBorders>
              <w:top w:val="single" w:sz="8" w:space="0" w:color="0071C5"/>
              <w:right w:val="single" w:sz="24" w:space="0" w:color="0071C5"/>
            </w:tcBorders>
            <w:shd w:val="clear" w:color="auto" w:fill="auto"/>
            <w:tcMar>
              <w:top w:w="40" w:type="dxa"/>
              <w:left w:w="40" w:type="dxa"/>
              <w:bottom w:w="40" w:type="dxa"/>
              <w:right w:w="40" w:type="dxa"/>
            </w:tcMar>
            <w:vAlign w:val="center"/>
          </w:tcPr>
          <w:p w14:paraId="3750E1B2"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68" wp14:editId="3750F869">
                  <wp:extent cx="304800" cy="304800"/>
                  <wp:effectExtent l="0" t="0" r="0" b="0"/>
                  <wp:docPr id="65" name="图片 67"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1B3"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1B4"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14</w:t>
            </w:r>
          </w:p>
        </w:tc>
      </w:tr>
    </w:tbl>
    <w:p w14:paraId="3750E1B6" w14:textId="77777777" w:rsidR="002541AD" w:rsidRDefault="002541AD">
      <w:pPr>
        <w:spacing w:line="288" w:lineRule="auto"/>
        <w:rPr>
          <w:rFonts w:ascii="Times New Roman" w:hAnsi="Times New Roman"/>
          <w:sz w:val="18"/>
          <w:szCs w:val="18"/>
        </w:rPr>
      </w:pPr>
    </w:p>
    <w:p w14:paraId="3750E1B7" w14:textId="77777777" w:rsidR="002541AD" w:rsidRDefault="002541AD">
      <w:pPr>
        <w:spacing w:line="288" w:lineRule="auto"/>
        <w:rPr>
          <w:rFonts w:ascii="Times New Roman" w:hAnsi="Times New Roman"/>
          <w:sz w:val="18"/>
          <w:szCs w:val="18"/>
        </w:rPr>
      </w:pPr>
    </w:p>
    <w:p w14:paraId="3750E1B8" w14:textId="77777777" w:rsidR="002541AD" w:rsidRDefault="00901AA6">
      <w:r>
        <w:rPr>
          <w:rFonts w:ascii="Times New Roman" w:hAnsi="Times New Roman"/>
          <w:sz w:val="18"/>
          <w:szCs w:val="18"/>
        </w:rPr>
        <w:pict w14:anchorId="3750F86A">
          <v:rect id="_x0000_i1040" style="width:415.3pt;height:1.5pt" o:hralign="center" o:hrstd="t" o:hr="t" fillcolor="#a0a0a0" stroked="f"/>
        </w:pict>
      </w:r>
    </w:p>
    <w:p w14:paraId="3750E1B9" w14:textId="77777777" w:rsidR="002541AD" w:rsidRDefault="00901AA6">
      <w:pPr>
        <w:spacing w:line="288" w:lineRule="auto"/>
        <w:jc w:val="right"/>
        <w:rPr>
          <w:rFonts w:ascii="Times New Roman" w:hAnsi="Times New Roman"/>
          <w:sz w:val="16"/>
          <w:szCs w:val="16"/>
        </w:rPr>
      </w:pPr>
      <w:hyperlink r:id="rId43" w:anchor="s2CABEAF4222C52B4A34547BF538A8C27" w:history="1">
        <w:r>
          <w:rPr>
            <w:rStyle w:val="a5"/>
            <w:rFonts w:ascii="Arial" w:eastAsia="宋体" w:hAnsi="Arial" w:cs="Arial"/>
            <w:b/>
            <w:bCs/>
            <w:sz w:val="16"/>
            <w:szCs w:val="16"/>
          </w:rPr>
          <w:t>Table of Contents</w:t>
        </w:r>
      </w:hyperlink>
    </w:p>
    <w:p w14:paraId="3750E1BA" w14:textId="77777777" w:rsidR="002541AD" w:rsidRDefault="002541AD">
      <w:pPr>
        <w:spacing w:line="288" w:lineRule="auto"/>
        <w:jc w:val="right"/>
        <w:rPr>
          <w:rFonts w:ascii="Times New Roman" w:hAnsi="Times New Roman"/>
          <w:sz w:val="18"/>
          <w:szCs w:val="18"/>
        </w:rPr>
      </w:pPr>
    </w:p>
    <w:p w14:paraId="3750E1BB"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080"/>
        <w:gridCol w:w="7226"/>
      </w:tblGrid>
      <w:tr w:rsidR="002541AD" w14:paraId="3750E1BD" w14:textId="77777777">
        <w:tc>
          <w:tcPr>
            <w:tcW w:w="0" w:type="auto"/>
            <w:gridSpan w:val="2"/>
            <w:shd w:val="clear" w:color="auto" w:fill="auto"/>
            <w:vAlign w:val="center"/>
          </w:tcPr>
          <w:p w14:paraId="3750E1BC" w14:textId="77777777" w:rsidR="002541AD" w:rsidRDefault="002541AD">
            <w:pPr>
              <w:rPr>
                <w:rFonts w:ascii="Times New Roman" w:hAnsi="Times New Roman"/>
                <w:sz w:val="20"/>
                <w:szCs w:val="20"/>
              </w:rPr>
            </w:pPr>
          </w:p>
        </w:tc>
      </w:tr>
      <w:tr w:rsidR="002541AD" w14:paraId="3750E1C0" w14:textId="77777777">
        <w:tc>
          <w:tcPr>
            <w:tcW w:w="650" w:type="pct"/>
            <w:shd w:val="clear" w:color="auto" w:fill="auto"/>
            <w:vAlign w:val="center"/>
          </w:tcPr>
          <w:p w14:paraId="3750E1BE" w14:textId="77777777" w:rsidR="002541AD" w:rsidRDefault="002541AD">
            <w:pPr>
              <w:rPr>
                <w:rFonts w:ascii="Times New Roman" w:hAnsi="Times New Roman"/>
                <w:sz w:val="20"/>
                <w:szCs w:val="20"/>
              </w:rPr>
            </w:pPr>
          </w:p>
        </w:tc>
        <w:tc>
          <w:tcPr>
            <w:tcW w:w="4350" w:type="pct"/>
            <w:shd w:val="clear" w:color="auto" w:fill="auto"/>
            <w:vAlign w:val="center"/>
          </w:tcPr>
          <w:p w14:paraId="3750E1BF" w14:textId="77777777" w:rsidR="002541AD" w:rsidRDefault="002541AD">
            <w:pPr>
              <w:rPr>
                <w:rFonts w:ascii="Times New Roman" w:hAnsi="Times New Roman"/>
                <w:sz w:val="20"/>
                <w:szCs w:val="20"/>
              </w:rPr>
            </w:pPr>
          </w:p>
        </w:tc>
      </w:tr>
      <w:tr w:rsidR="002541AD" w14:paraId="3750E1C3"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3750E1C1"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6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E1C2" w14:textId="77777777" w:rsidR="002541AD" w:rsidRDefault="00901AA6">
            <w:pPr>
              <w:textAlignment w:val="bottom"/>
              <w:rPr>
                <w:rFonts w:ascii="Times New Roman" w:hAnsi="Times New Roman"/>
                <w:sz w:val="28"/>
                <w:szCs w:val="28"/>
              </w:rPr>
            </w:pPr>
            <w:r>
              <w:rPr>
                <w:rFonts w:ascii="Arial" w:eastAsia="宋体" w:hAnsi="Arial" w:cs="Arial"/>
                <w:b/>
                <w:bCs/>
                <w:color w:val="0071C5"/>
                <w:sz w:val="28"/>
                <w:szCs w:val="28"/>
              </w:rPr>
              <w:t>RESTRUCTURING AND OTHER CHARGES</w:t>
            </w:r>
          </w:p>
        </w:tc>
      </w:tr>
    </w:tbl>
    <w:p w14:paraId="3750E1C4"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A restructuring program was approved in the first quarter of 2020 to further align our workforce with our continuing investments in the business and execute the planned divestiture of Home Gateway Platform, a division of CCG. We expect these actions to be </w:t>
      </w:r>
      <w:r>
        <w:rPr>
          <w:rFonts w:ascii="Arial" w:eastAsia="宋体" w:hAnsi="Arial" w:cs="Arial"/>
          <w:color w:val="333333"/>
          <w:sz w:val="18"/>
          <w:szCs w:val="18"/>
        </w:rPr>
        <w:t xml:space="preserve">substantially complete in the third quarter of 2020. </w:t>
      </w:r>
    </w:p>
    <w:p w14:paraId="3750E1C5"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Restructuring and other charges by type for the period were as follows:</w:t>
      </w:r>
    </w:p>
    <w:tbl>
      <w:tblPr>
        <w:tblW w:w="5000" w:type="pct"/>
        <w:tblCellMar>
          <w:left w:w="0" w:type="dxa"/>
          <w:right w:w="0" w:type="dxa"/>
        </w:tblCellMar>
        <w:tblLook w:val="04A0" w:firstRow="1" w:lastRow="0" w:firstColumn="1" w:lastColumn="0" w:noHBand="0" w:noVBand="1"/>
      </w:tblPr>
      <w:tblGrid>
        <w:gridCol w:w="6693"/>
        <w:gridCol w:w="130"/>
        <w:gridCol w:w="141"/>
        <w:gridCol w:w="1294"/>
        <w:gridCol w:w="48"/>
      </w:tblGrid>
      <w:tr w:rsidR="002541AD" w14:paraId="3750E1C7" w14:textId="77777777">
        <w:tc>
          <w:tcPr>
            <w:tcW w:w="0" w:type="auto"/>
            <w:gridSpan w:val="5"/>
            <w:shd w:val="clear" w:color="auto" w:fill="auto"/>
            <w:vAlign w:val="center"/>
          </w:tcPr>
          <w:p w14:paraId="3750E1C6" w14:textId="77777777" w:rsidR="002541AD" w:rsidRDefault="002541AD">
            <w:pPr>
              <w:rPr>
                <w:rFonts w:ascii="Times New Roman" w:hAnsi="Times New Roman"/>
                <w:sz w:val="20"/>
                <w:szCs w:val="20"/>
              </w:rPr>
            </w:pPr>
          </w:p>
        </w:tc>
      </w:tr>
      <w:tr w:rsidR="002541AD" w14:paraId="3750E1CD" w14:textId="77777777">
        <w:tc>
          <w:tcPr>
            <w:tcW w:w="4050" w:type="pct"/>
            <w:shd w:val="clear" w:color="auto" w:fill="auto"/>
            <w:vAlign w:val="center"/>
          </w:tcPr>
          <w:p w14:paraId="3750E1C8" w14:textId="77777777" w:rsidR="002541AD" w:rsidRDefault="002541AD">
            <w:pPr>
              <w:rPr>
                <w:rFonts w:ascii="Times New Roman" w:hAnsi="Times New Roman"/>
                <w:sz w:val="20"/>
                <w:szCs w:val="20"/>
              </w:rPr>
            </w:pPr>
          </w:p>
        </w:tc>
        <w:tc>
          <w:tcPr>
            <w:tcW w:w="50" w:type="pct"/>
            <w:shd w:val="clear" w:color="auto" w:fill="auto"/>
            <w:vAlign w:val="center"/>
          </w:tcPr>
          <w:p w14:paraId="3750E1C9" w14:textId="77777777" w:rsidR="002541AD" w:rsidRDefault="002541AD">
            <w:pPr>
              <w:rPr>
                <w:rFonts w:ascii="Times New Roman" w:hAnsi="Times New Roman"/>
                <w:sz w:val="20"/>
                <w:szCs w:val="20"/>
              </w:rPr>
            </w:pPr>
          </w:p>
        </w:tc>
        <w:tc>
          <w:tcPr>
            <w:tcW w:w="50" w:type="pct"/>
            <w:shd w:val="clear" w:color="auto" w:fill="auto"/>
            <w:vAlign w:val="center"/>
          </w:tcPr>
          <w:p w14:paraId="3750E1CA" w14:textId="77777777" w:rsidR="002541AD" w:rsidRDefault="002541AD">
            <w:pPr>
              <w:rPr>
                <w:rFonts w:ascii="Times New Roman" w:hAnsi="Times New Roman"/>
                <w:sz w:val="20"/>
                <w:szCs w:val="20"/>
              </w:rPr>
            </w:pPr>
          </w:p>
        </w:tc>
        <w:tc>
          <w:tcPr>
            <w:tcW w:w="800" w:type="pct"/>
            <w:shd w:val="clear" w:color="auto" w:fill="auto"/>
            <w:vAlign w:val="center"/>
          </w:tcPr>
          <w:p w14:paraId="3750E1CB" w14:textId="77777777" w:rsidR="002541AD" w:rsidRDefault="002541AD">
            <w:pPr>
              <w:rPr>
                <w:rFonts w:ascii="Times New Roman" w:hAnsi="Times New Roman"/>
                <w:sz w:val="20"/>
                <w:szCs w:val="20"/>
              </w:rPr>
            </w:pPr>
          </w:p>
        </w:tc>
        <w:tc>
          <w:tcPr>
            <w:tcW w:w="50" w:type="pct"/>
            <w:shd w:val="clear" w:color="auto" w:fill="auto"/>
            <w:vAlign w:val="center"/>
          </w:tcPr>
          <w:p w14:paraId="3750E1CC" w14:textId="77777777" w:rsidR="002541AD" w:rsidRDefault="002541AD">
            <w:pPr>
              <w:rPr>
                <w:rFonts w:ascii="Times New Roman" w:hAnsi="Times New Roman"/>
                <w:sz w:val="20"/>
                <w:szCs w:val="20"/>
              </w:rPr>
            </w:pPr>
          </w:p>
        </w:tc>
      </w:tr>
      <w:tr w:rsidR="002541AD" w14:paraId="3750E1D1" w14:textId="77777777">
        <w:tc>
          <w:tcPr>
            <w:tcW w:w="0" w:type="auto"/>
            <w:shd w:val="clear" w:color="auto" w:fill="auto"/>
            <w:tcMar>
              <w:top w:w="40" w:type="dxa"/>
              <w:left w:w="40" w:type="dxa"/>
              <w:bottom w:w="40" w:type="dxa"/>
              <w:right w:w="40" w:type="dxa"/>
            </w:tcMar>
            <w:vAlign w:val="bottom"/>
          </w:tcPr>
          <w:p w14:paraId="3750E1C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1C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1D0"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Three Months Ended</w:t>
            </w:r>
          </w:p>
        </w:tc>
      </w:tr>
      <w:tr w:rsidR="002541AD" w14:paraId="3750E1D5"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1D2"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E1D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1D4"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r>
      <w:tr w:rsidR="002541AD" w14:paraId="3750E1DB" w14:textId="77777777">
        <w:tc>
          <w:tcPr>
            <w:tcW w:w="0" w:type="auto"/>
            <w:shd w:val="clear" w:color="auto" w:fill="auto"/>
            <w:tcMar>
              <w:top w:w="40" w:type="dxa"/>
              <w:left w:w="40" w:type="dxa"/>
              <w:bottom w:w="40" w:type="dxa"/>
              <w:right w:w="40" w:type="dxa"/>
            </w:tcMar>
          </w:tcPr>
          <w:p w14:paraId="3750E1D6"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Employee severance and benefit arrangements</w:t>
            </w:r>
          </w:p>
        </w:tc>
        <w:tc>
          <w:tcPr>
            <w:tcW w:w="0" w:type="auto"/>
            <w:shd w:val="clear" w:color="auto" w:fill="auto"/>
            <w:tcMar>
              <w:top w:w="40" w:type="dxa"/>
              <w:left w:w="40" w:type="dxa"/>
              <w:bottom w:w="40" w:type="dxa"/>
              <w:right w:w="40" w:type="dxa"/>
            </w:tcMar>
            <w:vAlign w:val="bottom"/>
          </w:tcPr>
          <w:p w14:paraId="3750E1D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3750E1D8"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3750E1D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105</w:t>
            </w:r>
          </w:p>
        </w:tc>
        <w:tc>
          <w:tcPr>
            <w:tcW w:w="0" w:type="auto"/>
            <w:tcBorders>
              <w:top w:val="single" w:sz="8" w:space="0" w:color="0071C5"/>
            </w:tcBorders>
            <w:shd w:val="clear" w:color="auto" w:fill="auto"/>
            <w:vAlign w:val="bottom"/>
          </w:tcPr>
          <w:p w14:paraId="3750E1DA" w14:textId="77777777" w:rsidR="002541AD" w:rsidRDefault="002541AD">
            <w:pPr>
              <w:textAlignment w:val="bottom"/>
              <w:rPr>
                <w:rFonts w:ascii="Times New Roman" w:hAnsi="Times New Roman"/>
                <w:sz w:val="20"/>
                <w:szCs w:val="20"/>
              </w:rPr>
            </w:pPr>
          </w:p>
        </w:tc>
      </w:tr>
      <w:tr w:rsidR="002541AD" w14:paraId="3750E1E0" w14:textId="77777777">
        <w:tc>
          <w:tcPr>
            <w:tcW w:w="0" w:type="auto"/>
            <w:shd w:val="clear" w:color="auto" w:fill="auto"/>
            <w:tcMar>
              <w:top w:w="40" w:type="dxa"/>
              <w:left w:w="40" w:type="dxa"/>
              <w:bottom w:w="40" w:type="dxa"/>
              <w:right w:w="40" w:type="dxa"/>
            </w:tcMar>
          </w:tcPr>
          <w:p w14:paraId="3750E1DC"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 xml:space="preserve">Asset </w:t>
            </w:r>
            <w:r>
              <w:rPr>
                <w:rFonts w:ascii="Arial" w:eastAsia="宋体" w:hAnsi="Arial" w:cs="Arial"/>
                <w:color w:val="333333"/>
                <w:sz w:val="18"/>
                <w:szCs w:val="18"/>
              </w:rPr>
              <w:t>impairment and other charges</w:t>
            </w:r>
          </w:p>
        </w:tc>
        <w:tc>
          <w:tcPr>
            <w:tcW w:w="0" w:type="auto"/>
            <w:shd w:val="clear" w:color="auto" w:fill="auto"/>
            <w:tcMar>
              <w:top w:w="40" w:type="dxa"/>
              <w:left w:w="40" w:type="dxa"/>
              <w:bottom w:w="40" w:type="dxa"/>
              <w:right w:w="40" w:type="dxa"/>
            </w:tcMar>
            <w:vAlign w:val="bottom"/>
          </w:tcPr>
          <w:p w14:paraId="3750E1D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1DE"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57</w:t>
            </w:r>
          </w:p>
        </w:tc>
        <w:tc>
          <w:tcPr>
            <w:tcW w:w="0" w:type="auto"/>
            <w:shd w:val="clear" w:color="auto" w:fill="auto"/>
            <w:vAlign w:val="bottom"/>
          </w:tcPr>
          <w:p w14:paraId="3750E1DF" w14:textId="77777777" w:rsidR="002541AD" w:rsidRDefault="002541AD">
            <w:pPr>
              <w:textAlignment w:val="bottom"/>
              <w:rPr>
                <w:rFonts w:ascii="Times New Roman" w:hAnsi="Times New Roman"/>
                <w:sz w:val="20"/>
                <w:szCs w:val="20"/>
              </w:rPr>
            </w:pPr>
          </w:p>
        </w:tc>
      </w:tr>
      <w:tr w:rsidR="002541AD" w14:paraId="3750E1E6" w14:textId="77777777">
        <w:tc>
          <w:tcPr>
            <w:tcW w:w="0" w:type="auto"/>
            <w:shd w:val="clear" w:color="auto" w:fill="auto"/>
            <w:tcMar>
              <w:top w:w="40" w:type="dxa"/>
              <w:left w:w="40" w:type="dxa"/>
              <w:bottom w:w="40" w:type="dxa"/>
              <w:right w:w="40" w:type="dxa"/>
            </w:tcMar>
          </w:tcPr>
          <w:p w14:paraId="3750E1E1"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Total restructuring and other charges</w:t>
            </w:r>
          </w:p>
        </w:tc>
        <w:tc>
          <w:tcPr>
            <w:tcW w:w="0" w:type="auto"/>
            <w:shd w:val="clear" w:color="auto" w:fill="auto"/>
            <w:tcMar>
              <w:top w:w="40" w:type="dxa"/>
              <w:left w:w="40" w:type="dxa"/>
              <w:bottom w:w="40" w:type="dxa"/>
              <w:right w:w="40" w:type="dxa"/>
            </w:tcMar>
            <w:vAlign w:val="bottom"/>
          </w:tcPr>
          <w:p w14:paraId="3750E1E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1E3"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1E4"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162</w:t>
            </w:r>
          </w:p>
        </w:tc>
        <w:tc>
          <w:tcPr>
            <w:tcW w:w="0" w:type="auto"/>
            <w:tcBorders>
              <w:top w:val="single" w:sz="8" w:space="0" w:color="333333"/>
              <w:bottom w:val="double" w:sz="6" w:space="0" w:color="333333"/>
            </w:tcBorders>
            <w:shd w:val="clear" w:color="auto" w:fill="auto"/>
            <w:vAlign w:val="bottom"/>
          </w:tcPr>
          <w:p w14:paraId="3750E1E5" w14:textId="77777777" w:rsidR="002541AD" w:rsidRDefault="002541AD">
            <w:pPr>
              <w:textAlignment w:val="bottom"/>
              <w:rPr>
                <w:rFonts w:ascii="Times New Roman" w:hAnsi="Times New Roman"/>
                <w:sz w:val="20"/>
                <w:szCs w:val="20"/>
              </w:rPr>
            </w:pPr>
          </w:p>
        </w:tc>
      </w:tr>
    </w:tbl>
    <w:p w14:paraId="3750E1E7" w14:textId="77777777" w:rsidR="002541AD" w:rsidRDefault="002541AD">
      <w:pPr>
        <w:spacing w:line="288" w:lineRule="auto"/>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080"/>
        <w:gridCol w:w="7226"/>
      </w:tblGrid>
      <w:tr w:rsidR="002541AD" w14:paraId="3750E1E9" w14:textId="77777777">
        <w:tc>
          <w:tcPr>
            <w:tcW w:w="0" w:type="auto"/>
            <w:gridSpan w:val="2"/>
            <w:shd w:val="clear" w:color="auto" w:fill="auto"/>
            <w:vAlign w:val="center"/>
          </w:tcPr>
          <w:p w14:paraId="3750E1E8" w14:textId="77777777" w:rsidR="002541AD" w:rsidRDefault="002541AD">
            <w:pPr>
              <w:rPr>
                <w:rFonts w:ascii="Times New Roman" w:hAnsi="Times New Roman"/>
                <w:sz w:val="20"/>
                <w:szCs w:val="20"/>
              </w:rPr>
            </w:pPr>
          </w:p>
        </w:tc>
      </w:tr>
      <w:tr w:rsidR="002541AD" w14:paraId="3750E1EC" w14:textId="77777777">
        <w:tc>
          <w:tcPr>
            <w:tcW w:w="650" w:type="pct"/>
            <w:shd w:val="clear" w:color="auto" w:fill="auto"/>
            <w:vAlign w:val="center"/>
          </w:tcPr>
          <w:p w14:paraId="3750E1EA" w14:textId="77777777" w:rsidR="002541AD" w:rsidRDefault="002541AD">
            <w:pPr>
              <w:rPr>
                <w:rFonts w:ascii="Times New Roman" w:hAnsi="Times New Roman"/>
                <w:sz w:val="20"/>
                <w:szCs w:val="20"/>
              </w:rPr>
            </w:pPr>
          </w:p>
        </w:tc>
        <w:tc>
          <w:tcPr>
            <w:tcW w:w="4350" w:type="pct"/>
            <w:shd w:val="clear" w:color="auto" w:fill="auto"/>
            <w:vAlign w:val="center"/>
          </w:tcPr>
          <w:p w14:paraId="3750E1EB" w14:textId="77777777" w:rsidR="002541AD" w:rsidRDefault="002541AD">
            <w:pPr>
              <w:rPr>
                <w:rFonts w:ascii="Times New Roman" w:hAnsi="Times New Roman"/>
                <w:sz w:val="20"/>
                <w:szCs w:val="20"/>
              </w:rPr>
            </w:pPr>
          </w:p>
        </w:tc>
      </w:tr>
      <w:tr w:rsidR="002541AD" w14:paraId="3750E1EF"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3750E1ED"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7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E1EE" w14:textId="77777777" w:rsidR="002541AD" w:rsidRDefault="00901AA6">
            <w:pPr>
              <w:textAlignment w:val="bottom"/>
              <w:rPr>
                <w:rFonts w:ascii="Times New Roman" w:hAnsi="Times New Roman"/>
                <w:sz w:val="28"/>
                <w:szCs w:val="28"/>
              </w:rPr>
            </w:pPr>
            <w:r>
              <w:rPr>
                <w:rFonts w:ascii="Arial" w:eastAsia="宋体" w:hAnsi="Arial" w:cs="Arial"/>
                <w:b/>
                <w:bCs/>
                <w:color w:val="0071C5"/>
                <w:sz w:val="28"/>
                <w:szCs w:val="28"/>
              </w:rPr>
              <w:t>INVESTMENTS</w:t>
            </w:r>
          </w:p>
        </w:tc>
      </w:tr>
    </w:tbl>
    <w:p w14:paraId="3750E1F0" w14:textId="77777777" w:rsidR="002541AD" w:rsidRDefault="002541AD">
      <w:pPr>
        <w:spacing w:line="288" w:lineRule="auto"/>
        <w:rPr>
          <w:rFonts w:ascii="Times New Roman" w:hAnsi="Times New Roman"/>
          <w:sz w:val="28"/>
          <w:szCs w:val="28"/>
        </w:rPr>
      </w:pPr>
    </w:p>
    <w:p w14:paraId="3750E1F1" w14:textId="77777777" w:rsidR="002541AD" w:rsidRDefault="00901AA6">
      <w:pPr>
        <w:spacing w:line="288" w:lineRule="auto"/>
        <w:rPr>
          <w:rFonts w:ascii="Times New Roman" w:hAnsi="Times New Roman"/>
        </w:rPr>
      </w:pPr>
      <w:r>
        <w:rPr>
          <w:rFonts w:ascii="Arial" w:eastAsia="宋体" w:hAnsi="Arial" w:cs="Arial"/>
          <w:b/>
          <w:bCs/>
          <w:color w:val="0071C5"/>
        </w:rPr>
        <w:t>DEBT INVESTMENTS</w:t>
      </w:r>
    </w:p>
    <w:p w14:paraId="3750E1F2" w14:textId="77777777" w:rsidR="002541AD" w:rsidRDefault="00901AA6">
      <w:pPr>
        <w:spacing w:line="288" w:lineRule="auto"/>
        <w:rPr>
          <w:rFonts w:ascii="Times New Roman" w:hAnsi="Times New Roman"/>
          <w:sz w:val="20"/>
          <w:szCs w:val="20"/>
        </w:rPr>
      </w:pPr>
      <w:r>
        <w:rPr>
          <w:rFonts w:ascii="Arial" w:eastAsia="宋体" w:hAnsi="Arial" w:cs="Arial"/>
          <w:b/>
          <w:bCs/>
          <w:color w:val="333333"/>
          <w:sz w:val="20"/>
          <w:szCs w:val="20"/>
        </w:rPr>
        <w:t>Trading Assets</w:t>
      </w:r>
    </w:p>
    <w:p w14:paraId="3750E1F3"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Net losses related to trading assets still held at the reporting date were $231 million in the first three months of 2020 ($16 million of net gains in the first three months of 2019). Net gains on the related derivatives were $100 million in the first thre</w:t>
      </w:r>
      <w:r>
        <w:rPr>
          <w:rFonts w:ascii="Arial" w:eastAsia="宋体" w:hAnsi="Arial" w:cs="Arial"/>
          <w:color w:val="333333"/>
          <w:sz w:val="18"/>
          <w:szCs w:val="18"/>
        </w:rPr>
        <w:t xml:space="preserve">e months of 2020 ($2 million of net gains in the first three months of 2019). </w:t>
      </w:r>
    </w:p>
    <w:p w14:paraId="3750E1F4" w14:textId="77777777" w:rsidR="002541AD" w:rsidRDefault="00901AA6">
      <w:pPr>
        <w:spacing w:line="288" w:lineRule="auto"/>
        <w:rPr>
          <w:rFonts w:ascii="Times New Roman" w:hAnsi="Times New Roman"/>
          <w:sz w:val="20"/>
          <w:szCs w:val="20"/>
        </w:rPr>
      </w:pPr>
      <w:r>
        <w:rPr>
          <w:rFonts w:ascii="Arial" w:eastAsia="宋体" w:hAnsi="Arial" w:cs="Arial"/>
          <w:b/>
          <w:bCs/>
          <w:color w:val="333333"/>
          <w:sz w:val="20"/>
          <w:szCs w:val="20"/>
        </w:rPr>
        <w:t>Available-for-Sale Debt Investments</w:t>
      </w:r>
    </w:p>
    <w:tbl>
      <w:tblPr>
        <w:tblW w:w="5000" w:type="pct"/>
        <w:tblCellMar>
          <w:left w:w="0" w:type="dxa"/>
          <w:right w:w="0" w:type="dxa"/>
        </w:tblCellMar>
        <w:tblLook w:val="04A0" w:firstRow="1" w:lastRow="0" w:firstColumn="1" w:lastColumn="0" w:noHBand="0" w:noVBand="1"/>
      </w:tblPr>
      <w:tblGrid>
        <w:gridCol w:w="1126"/>
        <w:gridCol w:w="123"/>
        <w:gridCol w:w="133"/>
        <w:gridCol w:w="562"/>
        <w:gridCol w:w="80"/>
        <w:gridCol w:w="122"/>
        <w:gridCol w:w="133"/>
        <w:gridCol w:w="653"/>
        <w:gridCol w:w="93"/>
        <w:gridCol w:w="122"/>
        <w:gridCol w:w="133"/>
        <w:gridCol w:w="653"/>
        <w:gridCol w:w="99"/>
        <w:gridCol w:w="122"/>
        <w:gridCol w:w="132"/>
        <w:gridCol w:w="468"/>
        <w:gridCol w:w="5"/>
        <w:gridCol w:w="122"/>
        <w:gridCol w:w="133"/>
        <w:gridCol w:w="562"/>
        <w:gridCol w:w="80"/>
        <w:gridCol w:w="122"/>
        <w:gridCol w:w="133"/>
        <w:gridCol w:w="653"/>
        <w:gridCol w:w="93"/>
        <w:gridCol w:w="122"/>
        <w:gridCol w:w="133"/>
        <w:gridCol w:w="653"/>
        <w:gridCol w:w="99"/>
        <w:gridCol w:w="122"/>
        <w:gridCol w:w="132"/>
        <w:gridCol w:w="383"/>
        <w:gridCol w:w="5"/>
      </w:tblGrid>
      <w:tr w:rsidR="002541AD" w14:paraId="3750E1F6" w14:textId="77777777">
        <w:tc>
          <w:tcPr>
            <w:tcW w:w="0" w:type="auto"/>
            <w:gridSpan w:val="33"/>
            <w:shd w:val="clear" w:color="auto" w:fill="auto"/>
            <w:vAlign w:val="center"/>
          </w:tcPr>
          <w:p w14:paraId="3750E1F5" w14:textId="77777777" w:rsidR="002541AD" w:rsidRDefault="002541AD">
            <w:pPr>
              <w:rPr>
                <w:rFonts w:ascii="Times New Roman" w:hAnsi="Times New Roman"/>
                <w:sz w:val="20"/>
                <w:szCs w:val="20"/>
              </w:rPr>
            </w:pPr>
          </w:p>
        </w:tc>
      </w:tr>
      <w:tr w:rsidR="002541AD" w14:paraId="3750E218" w14:textId="77777777">
        <w:tc>
          <w:tcPr>
            <w:tcW w:w="1000" w:type="pct"/>
            <w:shd w:val="clear" w:color="auto" w:fill="auto"/>
            <w:vAlign w:val="center"/>
          </w:tcPr>
          <w:p w14:paraId="3750E1F7" w14:textId="77777777" w:rsidR="002541AD" w:rsidRDefault="002541AD">
            <w:pPr>
              <w:rPr>
                <w:rFonts w:ascii="Times New Roman" w:hAnsi="Times New Roman"/>
                <w:sz w:val="20"/>
                <w:szCs w:val="20"/>
              </w:rPr>
            </w:pPr>
          </w:p>
        </w:tc>
        <w:tc>
          <w:tcPr>
            <w:tcW w:w="50" w:type="pct"/>
            <w:shd w:val="clear" w:color="auto" w:fill="auto"/>
            <w:vAlign w:val="center"/>
          </w:tcPr>
          <w:p w14:paraId="3750E1F8" w14:textId="77777777" w:rsidR="002541AD" w:rsidRDefault="002541AD">
            <w:pPr>
              <w:rPr>
                <w:rFonts w:ascii="Times New Roman" w:hAnsi="Times New Roman"/>
                <w:sz w:val="20"/>
                <w:szCs w:val="20"/>
              </w:rPr>
            </w:pPr>
          </w:p>
        </w:tc>
        <w:tc>
          <w:tcPr>
            <w:tcW w:w="50" w:type="pct"/>
            <w:shd w:val="clear" w:color="auto" w:fill="auto"/>
            <w:vAlign w:val="center"/>
          </w:tcPr>
          <w:p w14:paraId="3750E1F9" w14:textId="77777777" w:rsidR="002541AD" w:rsidRDefault="002541AD">
            <w:pPr>
              <w:rPr>
                <w:rFonts w:ascii="Times New Roman" w:hAnsi="Times New Roman"/>
                <w:sz w:val="20"/>
                <w:szCs w:val="20"/>
              </w:rPr>
            </w:pPr>
          </w:p>
        </w:tc>
        <w:tc>
          <w:tcPr>
            <w:tcW w:w="350" w:type="pct"/>
            <w:shd w:val="clear" w:color="auto" w:fill="auto"/>
            <w:vAlign w:val="center"/>
          </w:tcPr>
          <w:p w14:paraId="3750E1FA" w14:textId="77777777" w:rsidR="002541AD" w:rsidRDefault="002541AD">
            <w:pPr>
              <w:rPr>
                <w:rFonts w:ascii="Times New Roman" w:hAnsi="Times New Roman"/>
                <w:sz w:val="20"/>
                <w:szCs w:val="20"/>
              </w:rPr>
            </w:pPr>
          </w:p>
        </w:tc>
        <w:tc>
          <w:tcPr>
            <w:tcW w:w="50" w:type="pct"/>
            <w:shd w:val="clear" w:color="auto" w:fill="auto"/>
            <w:vAlign w:val="center"/>
          </w:tcPr>
          <w:p w14:paraId="3750E1FB" w14:textId="77777777" w:rsidR="002541AD" w:rsidRDefault="002541AD">
            <w:pPr>
              <w:rPr>
                <w:rFonts w:ascii="Times New Roman" w:hAnsi="Times New Roman"/>
                <w:sz w:val="20"/>
                <w:szCs w:val="20"/>
              </w:rPr>
            </w:pPr>
          </w:p>
        </w:tc>
        <w:tc>
          <w:tcPr>
            <w:tcW w:w="50" w:type="pct"/>
            <w:shd w:val="clear" w:color="auto" w:fill="auto"/>
            <w:vAlign w:val="center"/>
          </w:tcPr>
          <w:p w14:paraId="3750E1FC" w14:textId="77777777" w:rsidR="002541AD" w:rsidRDefault="002541AD">
            <w:pPr>
              <w:rPr>
                <w:rFonts w:ascii="Times New Roman" w:hAnsi="Times New Roman"/>
                <w:sz w:val="20"/>
                <w:szCs w:val="20"/>
              </w:rPr>
            </w:pPr>
          </w:p>
        </w:tc>
        <w:tc>
          <w:tcPr>
            <w:tcW w:w="50" w:type="pct"/>
            <w:shd w:val="clear" w:color="auto" w:fill="auto"/>
            <w:vAlign w:val="center"/>
          </w:tcPr>
          <w:p w14:paraId="3750E1FD" w14:textId="77777777" w:rsidR="002541AD" w:rsidRDefault="002541AD">
            <w:pPr>
              <w:rPr>
                <w:rFonts w:ascii="Times New Roman" w:hAnsi="Times New Roman"/>
                <w:sz w:val="20"/>
                <w:szCs w:val="20"/>
              </w:rPr>
            </w:pPr>
          </w:p>
        </w:tc>
        <w:tc>
          <w:tcPr>
            <w:tcW w:w="350" w:type="pct"/>
            <w:shd w:val="clear" w:color="auto" w:fill="auto"/>
            <w:vAlign w:val="center"/>
          </w:tcPr>
          <w:p w14:paraId="3750E1FE" w14:textId="77777777" w:rsidR="002541AD" w:rsidRDefault="002541AD">
            <w:pPr>
              <w:rPr>
                <w:rFonts w:ascii="Times New Roman" w:hAnsi="Times New Roman"/>
                <w:sz w:val="20"/>
                <w:szCs w:val="20"/>
              </w:rPr>
            </w:pPr>
          </w:p>
        </w:tc>
        <w:tc>
          <w:tcPr>
            <w:tcW w:w="50" w:type="pct"/>
            <w:shd w:val="clear" w:color="auto" w:fill="auto"/>
            <w:vAlign w:val="center"/>
          </w:tcPr>
          <w:p w14:paraId="3750E1FF" w14:textId="77777777" w:rsidR="002541AD" w:rsidRDefault="002541AD">
            <w:pPr>
              <w:rPr>
                <w:rFonts w:ascii="Times New Roman" w:hAnsi="Times New Roman"/>
                <w:sz w:val="20"/>
                <w:szCs w:val="20"/>
              </w:rPr>
            </w:pPr>
          </w:p>
        </w:tc>
        <w:tc>
          <w:tcPr>
            <w:tcW w:w="50" w:type="pct"/>
            <w:shd w:val="clear" w:color="auto" w:fill="auto"/>
            <w:vAlign w:val="center"/>
          </w:tcPr>
          <w:p w14:paraId="3750E200" w14:textId="77777777" w:rsidR="002541AD" w:rsidRDefault="002541AD">
            <w:pPr>
              <w:rPr>
                <w:rFonts w:ascii="Times New Roman" w:hAnsi="Times New Roman"/>
                <w:sz w:val="20"/>
                <w:szCs w:val="20"/>
              </w:rPr>
            </w:pPr>
          </w:p>
        </w:tc>
        <w:tc>
          <w:tcPr>
            <w:tcW w:w="50" w:type="pct"/>
            <w:shd w:val="clear" w:color="auto" w:fill="auto"/>
            <w:vAlign w:val="center"/>
          </w:tcPr>
          <w:p w14:paraId="3750E201" w14:textId="77777777" w:rsidR="002541AD" w:rsidRDefault="002541AD">
            <w:pPr>
              <w:rPr>
                <w:rFonts w:ascii="Times New Roman" w:hAnsi="Times New Roman"/>
                <w:sz w:val="20"/>
                <w:szCs w:val="20"/>
              </w:rPr>
            </w:pPr>
          </w:p>
        </w:tc>
        <w:tc>
          <w:tcPr>
            <w:tcW w:w="350" w:type="pct"/>
            <w:shd w:val="clear" w:color="auto" w:fill="auto"/>
            <w:vAlign w:val="center"/>
          </w:tcPr>
          <w:p w14:paraId="3750E202" w14:textId="77777777" w:rsidR="002541AD" w:rsidRDefault="002541AD">
            <w:pPr>
              <w:rPr>
                <w:rFonts w:ascii="Times New Roman" w:hAnsi="Times New Roman"/>
                <w:sz w:val="20"/>
                <w:szCs w:val="20"/>
              </w:rPr>
            </w:pPr>
          </w:p>
        </w:tc>
        <w:tc>
          <w:tcPr>
            <w:tcW w:w="50" w:type="pct"/>
            <w:shd w:val="clear" w:color="auto" w:fill="auto"/>
            <w:vAlign w:val="center"/>
          </w:tcPr>
          <w:p w14:paraId="3750E203" w14:textId="77777777" w:rsidR="002541AD" w:rsidRDefault="002541AD">
            <w:pPr>
              <w:rPr>
                <w:rFonts w:ascii="Times New Roman" w:hAnsi="Times New Roman"/>
                <w:sz w:val="20"/>
                <w:szCs w:val="20"/>
              </w:rPr>
            </w:pPr>
          </w:p>
        </w:tc>
        <w:tc>
          <w:tcPr>
            <w:tcW w:w="50" w:type="pct"/>
            <w:shd w:val="clear" w:color="auto" w:fill="auto"/>
            <w:vAlign w:val="center"/>
          </w:tcPr>
          <w:p w14:paraId="3750E204" w14:textId="77777777" w:rsidR="002541AD" w:rsidRDefault="002541AD">
            <w:pPr>
              <w:rPr>
                <w:rFonts w:ascii="Times New Roman" w:hAnsi="Times New Roman"/>
                <w:sz w:val="20"/>
                <w:szCs w:val="20"/>
              </w:rPr>
            </w:pPr>
          </w:p>
        </w:tc>
        <w:tc>
          <w:tcPr>
            <w:tcW w:w="50" w:type="pct"/>
            <w:shd w:val="clear" w:color="auto" w:fill="auto"/>
            <w:vAlign w:val="center"/>
          </w:tcPr>
          <w:p w14:paraId="3750E205" w14:textId="77777777" w:rsidR="002541AD" w:rsidRDefault="002541AD">
            <w:pPr>
              <w:rPr>
                <w:rFonts w:ascii="Times New Roman" w:hAnsi="Times New Roman"/>
                <w:sz w:val="20"/>
                <w:szCs w:val="20"/>
              </w:rPr>
            </w:pPr>
          </w:p>
        </w:tc>
        <w:tc>
          <w:tcPr>
            <w:tcW w:w="350" w:type="pct"/>
            <w:shd w:val="clear" w:color="auto" w:fill="auto"/>
            <w:vAlign w:val="center"/>
          </w:tcPr>
          <w:p w14:paraId="3750E206" w14:textId="77777777" w:rsidR="002541AD" w:rsidRDefault="002541AD">
            <w:pPr>
              <w:rPr>
                <w:rFonts w:ascii="Times New Roman" w:hAnsi="Times New Roman"/>
                <w:sz w:val="20"/>
                <w:szCs w:val="20"/>
              </w:rPr>
            </w:pPr>
          </w:p>
        </w:tc>
        <w:tc>
          <w:tcPr>
            <w:tcW w:w="50" w:type="pct"/>
            <w:shd w:val="clear" w:color="auto" w:fill="auto"/>
            <w:vAlign w:val="center"/>
          </w:tcPr>
          <w:p w14:paraId="3750E207" w14:textId="77777777" w:rsidR="002541AD" w:rsidRDefault="002541AD">
            <w:pPr>
              <w:rPr>
                <w:rFonts w:ascii="Times New Roman" w:hAnsi="Times New Roman"/>
                <w:sz w:val="20"/>
                <w:szCs w:val="20"/>
              </w:rPr>
            </w:pPr>
          </w:p>
        </w:tc>
        <w:tc>
          <w:tcPr>
            <w:tcW w:w="50" w:type="pct"/>
            <w:shd w:val="clear" w:color="auto" w:fill="auto"/>
            <w:vAlign w:val="center"/>
          </w:tcPr>
          <w:p w14:paraId="3750E208" w14:textId="77777777" w:rsidR="002541AD" w:rsidRDefault="002541AD">
            <w:pPr>
              <w:rPr>
                <w:rFonts w:ascii="Times New Roman" w:hAnsi="Times New Roman"/>
                <w:sz w:val="20"/>
                <w:szCs w:val="20"/>
              </w:rPr>
            </w:pPr>
          </w:p>
        </w:tc>
        <w:tc>
          <w:tcPr>
            <w:tcW w:w="50" w:type="pct"/>
            <w:shd w:val="clear" w:color="auto" w:fill="auto"/>
            <w:vAlign w:val="center"/>
          </w:tcPr>
          <w:p w14:paraId="3750E209" w14:textId="77777777" w:rsidR="002541AD" w:rsidRDefault="002541AD">
            <w:pPr>
              <w:rPr>
                <w:rFonts w:ascii="Times New Roman" w:hAnsi="Times New Roman"/>
                <w:sz w:val="20"/>
                <w:szCs w:val="20"/>
              </w:rPr>
            </w:pPr>
          </w:p>
        </w:tc>
        <w:tc>
          <w:tcPr>
            <w:tcW w:w="350" w:type="pct"/>
            <w:shd w:val="clear" w:color="auto" w:fill="auto"/>
            <w:vAlign w:val="center"/>
          </w:tcPr>
          <w:p w14:paraId="3750E20A" w14:textId="77777777" w:rsidR="002541AD" w:rsidRDefault="002541AD">
            <w:pPr>
              <w:rPr>
                <w:rFonts w:ascii="Times New Roman" w:hAnsi="Times New Roman"/>
                <w:sz w:val="20"/>
                <w:szCs w:val="20"/>
              </w:rPr>
            </w:pPr>
          </w:p>
        </w:tc>
        <w:tc>
          <w:tcPr>
            <w:tcW w:w="50" w:type="pct"/>
            <w:shd w:val="clear" w:color="auto" w:fill="auto"/>
            <w:vAlign w:val="center"/>
          </w:tcPr>
          <w:p w14:paraId="3750E20B" w14:textId="77777777" w:rsidR="002541AD" w:rsidRDefault="002541AD">
            <w:pPr>
              <w:rPr>
                <w:rFonts w:ascii="Times New Roman" w:hAnsi="Times New Roman"/>
                <w:sz w:val="20"/>
                <w:szCs w:val="20"/>
              </w:rPr>
            </w:pPr>
          </w:p>
        </w:tc>
        <w:tc>
          <w:tcPr>
            <w:tcW w:w="50" w:type="pct"/>
            <w:shd w:val="clear" w:color="auto" w:fill="auto"/>
            <w:vAlign w:val="center"/>
          </w:tcPr>
          <w:p w14:paraId="3750E20C" w14:textId="77777777" w:rsidR="002541AD" w:rsidRDefault="002541AD">
            <w:pPr>
              <w:rPr>
                <w:rFonts w:ascii="Times New Roman" w:hAnsi="Times New Roman"/>
                <w:sz w:val="20"/>
                <w:szCs w:val="20"/>
              </w:rPr>
            </w:pPr>
          </w:p>
        </w:tc>
        <w:tc>
          <w:tcPr>
            <w:tcW w:w="50" w:type="pct"/>
            <w:shd w:val="clear" w:color="auto" w:fill="auto"/>
            <w:vAlign w:val="center"/>
          </w:tcPr>
          <w:p w14:paraId="3750E20D" w14:textId="77777777" w:rsidR="002541AD" w:rsidRDefault="002541AD">
            <w:pPr>
              <w:rPr>
                <w:rFonts w:ascii="Times New Roman" w:hAnsi="Times New Roman"/>
                <w:sz w:val="20"/>
                <w:szCs w:val="20"/>
              </w:rPr>
            </w:pPr>
          </w:p>
        </w:tc>
        <w:tc>
          <w:tcPr>
            <w:tcW w:w="350" w:type="pct"/>
            <w:shd w:val="clear" w:color="auto" w:fill="auto"/>
            <w:vAlign w:val="center"/>
          </w:tcPr>
          <w:p w14:paraId="3750E20E" w14:textId="77777777" w:rsidR="002541AD" w:rsidRDefault="002541AD">
            <w:pPr>
              <w:rPr>
                <w:rFonts w:ascii="Times New Roman" w:hAnsi="Times New Roman"/>
                <w:sz w:val="20"/>
                <w:szCs w:val="20"/>
              </w:rPr>
            </w:pPr>
          </w:p>
        </w:tc>
        <w:tc>
          <w:tcPr>
            <w:tcW w:w="50" w:type="pct"/>
            <w:shd w:val="clear" w:color="auto" w:fill="auto"/>
            <w:vAlign w:val="center"/>
          </w:tcPr>
          <w:p w14:paraId="3750E20F" w14:textId="77777777" w:rsidR="002541AD" w:rsidRDefault="002541AD">
            <w:pPr>
              <w:rPr>
                <w:rFonts w:ascii="Times New Roman" w:hAnsi="Times New Roman"/>
                <w:sz w:val="20"/>
                <w:szCs w:val="20"/>
              </w:rPr>
            </w:pPr>
          </w:p>
        </w:tc>
        <w:tc>
          <w:tcPr>
            <w:tcW w:w="50" w:type="pct"/>
            <w:shd w:val="clear" w:color="auto" w:fill="auto"/>
            <w:vAlign w:val="center"/>
          </w:tcPr>
          <w:p w14:paraId="3750E210" w14:textId="77777777" w:rsidR="002541AD" w:rsidRDefault="002541AD">
            <w:pPr>
              <w:rPr>
                <w:rFonts w:ascii="Times New Roman" w:hAnsi="Times New Roman"/>
                <w:sz w:val="20"/>
                <w:szCs w:val="20"/>
              </w:rPr>
            </w:pPr>
          </w:p>
        </w:tc>
        <w:tc>
          <w:tcPr>
            <w:tcW w:w="50" w:type="pct"/>
            <w:shd w:val="clear" w:color="auto" w:fill="auto"/>
            <w:vAlign w:val="center"/>
          </w:tcPr>
          <w:p w14:paraId="3750E211" w14:textId="77777777" w:rsidR="002541AD" w:rsidRDefault="002541AD">
            <w:pPr>
              <w:rPr>
                <w:rFonts w:ascii="Times New Roman" w:hAnsi="Times New Roman"/>
                <w:sz w:val="20"/>
                <w:szCs w:val="20"/>
              </w:rPr>
            </w:pPr>
          </w:p>
        </w:tc>
        <w:tc>
          <w:tcPr>
            <w:tcW w:w="350" w:type="pct"/>
            <w:shd w:val="clear" w:color="auto" w:fill="auto"/>
            <w:vAlign w:val="center"/>
          </w:tcPr>
          <w:p w14:paraId="3750E212" w14:textId="77777777" w:rsidR="002541AD" w:rsidRDefault="002541AD">
            <w:pPr>
              <w:rPr>
                <w:rFonts w:ascii="Times New Roman" w:hAnsi="Times New Roman"/>
                <w:sz w:val="20"/>
                <w:szCs w:val="20"/>
              </w:rPr>
            </w:pPr>
          </w:p>
        </w:tc>
        <w:tc>
          <w:tcPr>
            <w:tcW w:w="50" w:type="pct"/>
            <w:shd w:val="clear" w:color="auto" w:fill="auto"/>
            <w:vAlign w:val="center"/>
          </w:tcPr>
          <w:p w14:paraId="3750E213" w14:textId="77777777" w:rsidR="002541AD" w:rsidRDefault="002541AD">
            <w:pPr>
              <w:rPr>
                <w:rFonts w:ascii="Times New Roman" w:hAnsi="Times New Roman"/>
                <w:sz w:val="20"/>
                <w:szCs w:val="20"/>
              </w:rPr>
            </w:pPr>
          </w:p>
        </w:tc>
        <w:tc>
          <w:tcPr>
            <w:tcW w:w="50" w:type="pct"/>
            <w:shd w:val="clear" w:color="auto" w:fill="auto"/>
            <w:vAlign w:val="center"/>
          </w:tcPr>
          <w:p w14:paraId="3750E214" w14:textId="77777777" w:rsidR="002541AD" w:rsidRDefault="002541AD">
            <w:pPr>
              <w:rPr>
                <w:rFonts w:ascii="Times New Roman" w:hAnsi="Times New Roman"/>
                <w:sz w:val="20"/>
                <w:szCs w:val="20"/>
              </w:rPr>
            </w:pPr>
          </w:p>
        </w:tc>
        <w:tc>
          <w:tcPr>
            <w:tcW w:w="50" w:type="pct"/>
            <w:shd w:val="clear" w:color="auto" w:fill="auto"/>
            <w:vAlign w:val="center"/>
          </w:tcPr>
          <w:p w14:paraId="3750E215" w14:textId="77777777" w:rsidR="002541AD" w:rsidRDefault="002541AD">
            <w:pPr>
              <w:rPr>
                <w:rFonts w:ascii="Times New Roman" w:hAnsi="Times New Roman"/>
                <w:sz w:val="20"/>
                <w:szCs w:val="20"/>
              </w:rPr>
            </w:pPr>
          </w:p>
        </w:tc>
        <w:tc>
          <w:tcPr>
            <w:tcW w:w="350" w:type="pct"/>
            <w:shd w:val="clear" w:color="auto" w:fill="auto"/>
            <w:vAlign w:val="center"/>
          </w:tcPr>
          <w:p w14:paraId="3750E216" w14:textId="77777777" w:rsidR="002541AD" w:rsidRDefault="002541AD">
            <w:pPr>
              <w:rPr>
                <w:rFonts w:ascii="Times New Roman" w:hAnsi="Times New Roman"/>
                <w:sz w:val="20"/>
                <w:szCs w:val="20"/>
              </w:rPr>
            </w:pPr>
          </w:p>
        </w:tc>
        <w:tc>
          <w:tcPr>
            <w:tcW w:w="50" w:type="pct"/>
            <w:shd w:val="clear" w:color="auto" w:fill="auto"/>
            <w:vAlign w:val="center"/>
          </w:tcPr>
          <w:p w14:paraId="3750E217" w14:textId="77777777" w:rsidR="002541AD" w:rsidRDefault="002541AD">
            <w:pPr>
              <w:rPr>
                <w:rFonts w:ascii="Times New Roman" w:hAnsi="Times New Roman"/>
                <w:sz w:val="20"/>
                <w:szCs w:val="20"/>
              </w:rPr>
            </w:pPr>
          </w:p>
        </w:tc>
      </w:tr>
      <w:tr w:rsidR="002541AD" w14:paraId="3750E21E" w14:textId="77777777">
        <w:tc>
          <w:tcPr>
            <w:tcW w:w="0" w:type="auto"/>
            <w:shd w:val="clear" w:color="auto" w:fill="auto"/>
            <w:tcMar>
              <w:top w:w="40" w:type="dxa"/>
              <w:left w:w="40" w:type="dxa"/>
              <w:bottom w:w="40" w:type="dxa"/>
              <w:right w:w="40" w:type="dxa"/>
            </w:tcMar>
            <w:vAlign w:val="bottom"/>
          </w:tcPr>
          <w:p w14:paraId="3750E21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21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71C5"/>
            </w:tcBorders>
            <w:shd w:val="clear" w:color="auto" w:fill="auto"/>
            <w:tcMar>
              <w:top w:w="40" w:type="dxa"/>
              <w:left w:w="40" w:type="dxa"/>
              <w:bottom w:w="40" w:type="dxa"/>
            </w:tcMar>
            <w:vAlign w:val="bottom"/>
          </w:tcPr>
          <w:p w14:paraId="3750E21B"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March 28, 2020</w:t>
            </w:r>
          </w:p>
        </w:tc>
        <w:tc>
          <w:tcPr>
            <w:tcW w:w="0" w:type="auto"/>
            <w:shd w:val="clear" w:color="auto" w:fill="auto"/>
            <w:tcMar>
              <w:top w:w="40" w:type="dxa"/>
              <w:left w:w="40" w:type="dxa"/>
              <w:bottom w:w="40" w:type="dxa"/>
              <w:right w:w="40" w:type="dxa"/>
            </w:tcMar>
            <w:vAlign w:val="bottom"/>
          </w:tcPr>
          <w:p w14:paraId="3750E21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71C5"/>
            </w:tcBorders>
            <w:shd w:val="clear" w:color="auto" w:fill="auto"/>
            <w:tcMar>
              <w:top w:w="40" w:type="dxa"/>
              <w:left w:w="40" w:type="dxa"/>
              <w:bottom w:w="40" w:type="dxa"/>
            </w:tcMar>
            <w:vAlign w:val="bottom"/>
          </w:tcPr>
          <w:p w14:paraId="3750E21D"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December 28, 2019</w:t>
            </w:r>
          </w:p>
        </w:tc>
      </w:tr>
      <w:tr w:rsidR="002541AD" w14:paraId="3750E230"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21F"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E22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221"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Adjusted Cost</w:t>
            </w:r>
          </w:p>
        </w:tc>
        <w:tc>
          <w:tcPr>
            <w:tcW w:w="0" w:type="auto"/>
            <w:shd w:val="clear" w:color="auto" w:fill="auto"/>
            <w:tcMar>
              <w:top w:w="40" w:type="dxa"/>
              <w:left w:w="40" w:type="dxa"/>
              <w:bottom w:w="40" w:type="dxa"/>
              <w:right w:w="40" w:type="dxa"/>
            </w:tcMar>
            <w:vAlign w:val="bottom"/>
          </w:tcPr>
          <w:p w14:paraId="3750E22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223"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Gross Unrealized Gains</w:t>
            </w:r>
          </w:p>
        </w:tc>
        <w:tc>
          <w:tcPr>
            <w:tcW w:w="0" w:type="auto"/>
            <w:shd w:val="clear" w:color="auto" w:fill="auto"/>
            <w:tcMar>
              <w:top w:w="40" w:type="dxa"/>
              <w:left w:w="40" w:type="dxa"/>
              <w:bottom w:w="40" w:type="dxa"/>
              <w:right w:w="40" w:type="dxa"/>
            </w:tcMar>
            <w:vAlign w:val="bottom"/>
          </w:tcPr>
          <w:p w14:paraId="3750E22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225"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Gross Unrealized Losses</w:t>
            </w:r>
          </w:p>
        </w:tc>
        <w:tc>
          <w:tcPr>
            <w:tcW w:w="0" w:type="auto"/>
            <w:shd w:val="clear" w:color="auto" w:fill="auto"/>
            <w:tcMar>
              <w:top w:w="40" w:type="dxa"/>
              <w:left w:w="40" w:type="dxa"/>
              <w:bottom w:w="40" w:type="dxa"/>
              <w:right w:w="40" w:type="dxa"/>
            </w:tcMar>
            <w:vAlign w:val="bottom"/>
          </w:tcPr>
          <w:p w14:paraId="3750E22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227"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Fair Value</w:t>
            </w:r>
          </w:p>
        </w:tc>
        <w:tc>
          <w:tcPr>
            <w:tcW w:w="0" w:type="auto"/>
            <w:shd w:val="clear" w:color="auto" w:fill="auto"/>
            <w:tcMar>
              <w:top w:w="40" w:type="dxa"/>
              <w:left w:w="40" w:type="dxa"/>
              <w:bottom w:w="40" w:type="dxa"/>
              <w:right w:w="40" w:type="dxa"/>
            </w:tcMar>
            <w:vAlign w:val="bottom"/>
          </w:tcPr>
          <w:p w14:paraId="3750E22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229"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Adjusted Cost</w:t>
            </w:r>
          </w:p>
        </w:tc>
        <w:tc>
          <w:tcPr>
            <w:tcW w:w="0" w:type="auto"/>
            <w:shd w:val="clear" w:color="auto" w:fill="auto"/>
            <w:tcMar>
              <w:top w:w="40" w:type="dxa"/>
              <w:left w:w="40" w:type="dxa"/>
              <w:bottom w:w="40" w:type="dxa"/>
              <w:right w:w="40" w:type="dxa"/>
            </w:tcMar>
            <w:vAlign w:val="bottom"/>
          </w:tcPr>
          <w:p w14:paraId="3750E22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22B"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Gross Unrealized Gains</w:t>
            </w:r>
          </w:p>
        </w:tc>
        <w:tc>
          <w:tcPr>
            <w:tcW w:w="0" w:type="auto"/>
            <w:shd w:val="clear" w:color="auto" w:fill="auto"/>
            <w:tcMar>
              <w:top w:w="40" w:type="dxa"/>
              <w:left w:w="40" w:type="dxa"/>
              <w:bottom w:w="40" w:type="dxa"/>
              <w:right w:w="40" w:type="dxa"/>
            </w:tcMar>
            <w:vAlign w:val="bottom"/>
          </w:tcPr>
          <w:p w14:paraId="3750E22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22D"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Gross Unrealized Losses</w:t>
            </w:r>
          </w:p>
        </w:tc>
        <w:tc>
          <w:tcPr>
            <w:tcW w:w="0" w:type="auto"/>
            <w:shd w:val="clear" w:color="auto" w:fill="auto"/>
            <w:tcMar>
              <w:top w:w="40" w:type="dxa"/>
              <w:left w:w="40" w:type="dxa"/>
              <w:bottom w:w="40" w:type="dxa"/>
              <w:right w:w="40" w:type="dxa"/>
            </w:tcMar>
            <w:vAlign w:val="bottom"/>
          </w:tcPr>
          <w:p w14:paraId="3750E22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22F"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Fair Value</w:t>
            </w:r>
          </w:p>
        </w:tc>
      </w:tr>
      <w:tr w:rsidR="002541AD" w14:paraId="3750E252" w14:textId="77777777">
        <w:tc>
          <w:tcPr>
            <w:tcW w:w="0" w:type="auto"/>
            <w:shd w:val="clear" w:color="auto" w:fill="auto"/>
            <w:tcMar>
              <w:top w:w="40" w:type="dxa"/>
              <w:left w:w="40" w:type="dxa"/>
              <w:bottom w:w="40" w:type="dxa"/>
              <w:right w:w="40" w:type="dxa"/>
            </w:tcMar>
          </w:tcPr>
          <w:p w14:paraId="3750E231"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Corporate debt</w:t>
            </w:r>
          </w:p>
        </w:tc>
        <w:tc>
          <w:tcPr>
            <w:tcW w:w="0" w:type="auto"/>
            <w:shd w:val="clear" w:color="auto" w:fill="auto"/>
            <w:tcMar>
              <w:top w:w="40" w:type="dxa"/>
              <w:left w:w="40" w:type="dxa"/>
              <w:bottom w:w="40" w:type="dxa"/>
              <w:right w:w="40" w:type="dxa"/>
            </w:tcMar>
            <w:vAlign w:val="bottom"/>
          </w:tcPr>
          <w:p w14:paraId="3750E23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233"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234"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3,656</w:t>
            </w:r>
          </w:p>
        </w:tc>
        <w:tc>
          <w:tcPr>
            <w:tcW w:w="0" w:type="auto"/>
            <w:shd w:val="clear" w:color="auto" w:fill="auto"/>
            <w:vAlign w:val="bottom"/>
          </w:tcPr>
          <w:p w14:paraId="3750E23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23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237"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238"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46</w:t>
            </w:r>
          </w:p>
        </w:tc>
        <w:tc>
          <w:tcPr>
            <w:tcW w:w="0" w:type="auto"/>
            <w:shd w:val="clear" w:color="auto" w:fill="auto"/>
            <w:vAlign w:val="bottom"/>
          </w:tcPr>
          <w:p w14:paraId="3750E239"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23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23B"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23C"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(9</w:t>
            </w:r>
          </w:p>
        </w:tc>
        <w:tc>
          <w:tcPr>
            <w:tcW w:w="0" w:type="auto"/>
            <w:shd w:val="clear" w:color="auto" w:fill="auto"/>
            <w:tcMar>
              <w:top w:w="40" w:type="dxa"/>
              <w:bottom w:w="40" w:type="dxa"/>
              <w:right w:w="40" w:type="dxa"/>
            </w:tcMar>
            <w:vAlign w:val="bottom"/>
          </w:tcPr>
          <w:p w14:paraId="3750E23D"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23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23F"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24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3,693</w:t>
            </w:r>
          </w:p>
        </w:tc>
        <w:tc>
          <w:tcPr>
            <w:tcW w:w="0" w:type="auto"/>
            <w:shd w:val="clear" w:color="auto" w:fill="auto"/>
            <w:vAlign w:val="bottom"/>
          </w:tcPr>
          <w:p w14:paraId="3750E24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24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243"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24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2,914</w:t>
            </w:r>
          </w:p>
        </w:tc>
        <w:tc>
          <w:tcPr>
            <w:tcW w:w="0" w:type="auto"/>
            <w:shd w:val="clear" w:color="auto" w:fill="auto"/>
            <w:vAlign w:val="bottom"/>
          </w:tcPr>
          <w:p w14:paraId="3750E24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24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247"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24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44</w:t>
            </w:r>
          </w:p>
        </w:tc>
        <w:tc>
          <w:tcPr>
            <w:tcW w:w="0" w:type="auto"/>
            <w:shd w:val="clear" w:color="auto" w:fill="auto"/>
            <w:vAlign w:val="bottom"/>
          </w:tcPr>
          <w:p w14:paraId="3750E249"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24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24B"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24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24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24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24F"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250"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2,958</w:t>
            </w:r>
          </w:p>
        </w:tc>
        <w:tc>
          <w:tcPr>
            <w:tcW w:w="0" w:type="auto"/>
            <w:shd w:val="clear" w:color="auto" w:fill="auto"/>
            <w:vAlign w:val="bottom"/>
          </w:tcPr>
          <w:p w14:paraId="3750E251" w14:textId="77777777" w:rsidR="002541AD" w:rsidRDefault="002541AD">
            <w:pPr>
              <w:textAlignment w:val="bottom"/>
              <w:rPr>
                <w:rFonts w:ascii="Times New Roman" w:hAnsi="Times New Roman"/>
                <w:sz w:val="20"/>
                <w:szCs w:val="20"/>
              </w:rPr>
            </w:pPr>
          </w:p>
        </w:tc>
      </w:tr>
      <w:tr w:rsidR="002541AD" w14:paraId="3750E26C" w14:textId="77777777">
        <w:tc>
          <w:tcPr>
            <w:tcW w:w="0" w:type="auto"/>
            <w:shd w:val="clear" w:color="auto" w:fill="auto"/>
            <w:tcMar>
              <w:top w:w="40" w:type="dxa"/>
              <w:left w:w="40" w:type="dxa"/>
              <w:bottom w:w="40" w:type="dxa"/>
              <w:right w:w="40" w:type="dxa"/>
            </w:tcMar>
          </w:tcPr>
          <w:p w14:paraId="3750E253"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 xml:space="preserve">Financial institution </w:t>
            </w:r>
            <w:r>
              <w:rPr>
                <w:rFonts w:ascii="Arial" w:eastAsia="宋体" w:hAnsi="Arial" w:cs="Arial"/>
                <w:color w:val="333333"/>
                <w:sz w:val="18"/>
                <w:szCs w:val="18"/>
              </w:rPr>
              <w:br/>
              <w:t>instruments</w:t>
            </w:r>
          </w:p>
        </w:tc>
        <w:tc>
          <w:tcPr>
            <w:tcW w:w="0" w:type="auto"/>
            <w:shd w:val="clear" w:color="auto" w:fill="auto"/>
            <w:tcMar>
              <w:top w:w="40" w:type="dxa"/>
              <w:left w:w="40" w:type="dxa"/>
              <w:bottom w:w="40" w:type="dxa"/>
              <w:right w:w="40" w:type="dxa"/>
            </w:tcMar>
            <w:vAlign w:val="bottom"/>
          </w:tcPr>
          <w:p w14:paraId="3750E25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255"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9,482</w:t>
            </w:r>
          </w:p>
        </w:tc>
        <w:tc>
          <w:tcPr>
            <w:tcW w:w="0" w:type="auto"/>
            <w:shd w:val="clear" w:color="auto" w:fill="auto"/>
            <w:vAlign w:val="bottom"/>
          </w:tcPr>
          <w:p w14:paraId="3750E25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25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258"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12</w:t>
            </w:r>
          </w:p>
        </w:tc>
        <w:tc>
          <w:tcPr>
            <w:tcW w:w="0" w:type="auto"/>
            <w:shd w:val="clear" w:color="auto" w:fill="auto"/>
            <w:vAlign w:val="bottom"/>
          </w:tcPr>
          <w:p w14:paraId="3750E259"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25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25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w:t>
            </w:r>
          </w:p>
        </w:tc>
        <w:tc>
          <w:tcPr>
            <w:tcW w:w="0" w:type="auto"/>
            <w:shd w:val="clear" w:color="auto" w:fill="auto"/>
            <w:tcMar>
              <w:top w:w="40" w:type="dxa"/>
              <w:bottom w:w="40" w:type="dxa"/>
              <w:right w:w="40" w:type="dxa"/>
            </w:tcMar>
            <w:vAlign w:val="bottom"/>
          </w:tcPr>
          <w:p w14:paraId="3750E25C"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25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25E"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9,492</w:t>
            </w:r>
          </w:p>
        </w:tc>
        <w:tc>
          <w:tcPr>
            <w:tcW w:w="0" w:type="auto"/>
            <w:shd w:val="clear" w:color="auto" w:fill="auto"/>
            <w:vAlign w:val="bottom"/>
          </w:tcPr>
          <w:p w14:paraId="3750E25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26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261"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3,007</w:t>
            </w:r>
          </w:p>
        </w:tc>
        <w:tc>
          <w:tcPr>
            <w:tcW w:w="0" w:type="auto"/>
            <w:shd w:val="clear" w:color="auto" w:fill="auto"/>
            <w:vAlign w:val="bottom"/>
          </w:tcPr>
          <w:p w14:paraId="3750E26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26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26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15</w:t>
            </w:r>
          </w:p>
        </w:tc>
        <w:tc>
          <w:tcPr>
            <w:tcW w:w="0" w:type="auto"/>
            <w:shd w:val="clear" w:color="auto" w:fill="auto"/>
            <w:vAlign w:val="bottom"/>
          </w:tcPr>
          <w:p w14:paraId="3750E26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26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267"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w:t>
            </w:r>
          </w:p>
        </w:tc>
        <w:tc>
          <w:tcPr>
            <w:tcW w:w="0" w:type="auto"/>
            <w:shd w:val="clear" w:color="auto" w:fill="auto"/>
            <w:tcMar>
              <w:top w:w="40" w:type="dxa"/>
              <w:bottom w:w="40" w:type="dxa"/>
              <w:right w:w="40" w:type="dxa"/>
            </w:tcMar>
            <w:vAlign w:val="bottom"/>
          </w:tcPr>
          <w:p w14:paraId="3750E268"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3750E26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26A"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3,021</w:t>
            </w:r>
          </w:p>
        </w:tc>
        <w:tc>
          <w:tcPr>
            <w:tcW w:w="0" w:type="auto"/>
            <w:shd w:val="clear" w:color="auto" w:fill="auto"/>
            <w:vAlign w:val="bottom"/>
          </w:tcPr>
          <w:p w14:paraId="3750E26B" w14:textId="77777777" w:rsidR="002541AD" w:rsidRDefault="002541AD">
            <w:pPr>
              <w:textAlignment w:val="bottom"/>
              <w:rPr>
                <w:rFonts w:ascii="Times New Roman" w:hAnsi="Times New Roman"/>
                <w:sz w:val="20"/>
                <w:szCs w:val="20"/>
              </w:rPr>
            </w:pPr>
          </w:p>
        </w:tc>
      </w:tr>
      <w:tr w:rsidR="002541AD" w14:paraId="3750E286" w14:textId="77777777">
        <w:tc>
          <w:tcPr>
            <w:tcW w:w="0" w:type="auto"/>
            <w:shd w:val="clear" w:color="auto" w:fill="auto"/>
            <w:tcMar>
              <w:top w:w="40" w:type="dxa"/>
              <w:left w:w="40" w:type="dxa"/>
              <w:bottom w:w="40" w:type="dxa"/>
              <w:right w:w="40" w:type="dxa"/>
            </w:tcMar>
          </w:tcPr>
          <w:p w14:paraId="3750E26D"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Government debt</w:t>
            </w:r>
          </w:p>
        </w:tc>
        <w:tc>
          <w:tcPr>
            <w:tcW w:w="0" w:type="auto"/>
            <w:shd w:val="clear" w:color="auto" w:fill="auto"/>
            <w:tcMar>
              <w:top w:w="40" w:type="dxa"/>
              <w:left w:w="40" w:type="dxa"/>
              <w:bottom w:w="40" w:type="dxa"/>
              <w:right w:w="40" w:type="dxa"/>
            </w:tcMar>
            <w:vAlign w:val="bottom"/>
          </w:tcPr>
          <w:p w14:paraId="3750E26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26F"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748</w:t>
            </w:r>
          </w:p>
        </w:tc>
        <w:tc>
          <w:tcPr>
            <w:tcW w:w="0" w:type="auto"/>
            <w:shd w:val="clear" w:color="auto" w:fill="auto"/>
            <w:vAlign w:val="bottom"/>
          </w:tcPr>
          <w:p w14:paraId="3750E27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27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272"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11</w:t>
            </w:r>
          </w:p>
        </w:tc>
        <w:tc>
          <w:tcPr>
            <w:tcW w:w="0" w:type="auto"/>
            <w:shd w:val="clear" w:color="auto" w:fill="auto"/>
            <w:vAlign w:val="bottom"/>
          </w:tcPr>
          <w:p w14:paraId="3750E27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27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275"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w:t>
            </w:r>
          </w:p>
        </w:tc>
        <w:tc>
          <w:tcPr>
            <w:tcW w:w="0" w:type="auto"/>
            <w:shd w:val="clear" w:color="auto" w:fill="auto"/>
            <w:tcMar>
              <w:top w:w="40" w:type="dxa"/>
              <w:bottom w:w="40" w:type="dxa"/>
              <w:right w:w="40" w:type="dxa"/>
            </w:tcMar>
            <w:vAlign w:val="bottom"/>
          </w:tcPr>
          <w:p w14:paraId="3750E276"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27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278"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758</w:t>
            </w:r>
          </w:p>
        </w:tc>
        <w:tc>
          <w:tcPr>
            <w:tcW w:w="0" w:type="auto"/>
            <w:shd w:val="clear" w:color="auto" w:fill="auto"/>
            <w:vAlign w:val="bottom"/>
          </w:tcPr>
          <w:p w14:paraId="3750E279"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27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27B"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560</w:t>
            </w:r>
          </w:p>
        </w:tc>
        <w:tc>
          <w:tcPr>
            <w:tcW w:w="0" w:type="auto"/>
            <w:shd w:val="clear" w:color="auto" w:fill="auto"/>
            <w:vAlign w:val="bottom"/>
          </w:tcPr>
          <w:p w14:paraId="3750E27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27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27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w:t>
            </w:r>
          </w:p>
        </w:tc>
        <w:tc>
          <w:tcPr>
            <w:tcW w:w="0" w:type="auto"/>
            <w:shd w:val="clear" w:color="auto" w:fill="auto"/>
            <w:vAlign w:val="bottom"/>
          </w:tcPr>
          <w:p w14:paraId="3750E27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28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281"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28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28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28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564</w:t>
            </w:r>
          </w:p>
        </w:tc>
        <w:tc>
          <w:tcPr>
            <w:tcW w:w="0" w:type="auto"/>
            <w:shd w:val="clear" w:color="auto" w:fill="auto"/>
            <w:vAlign w:val="bottom"/>
          </w:tcPr>
          <w:p w14:paraId="3750E285" w14:textId="77777777" w:rsidR="002541AD" w:rsidRDefault="002541AD">
            <w:pPr>
              <w:textAlignment w:val="bottom"/>
              <w:rPr>
                <w:rFonts w:ascii="Times New Roman" w:hAnsi="Times New Roman"/>
                <w:sz w:val="20"/>
                <w:szCs w:val="20"/>
              </w:rPr>
            </w:pPr>
          </w:p>
        </w:tc>
      </w:tr>
      <w:tr w:rsidR="002541AD" w14:paraId="3750E2A8" w14:textId="77777777">
        <w:tc>
          <w:tcPr>
            <w:tcW w:w="0" w:type="auto"/>
            <w:shd w:val="clear" w:color="auto" w:fill="auto"/>
            <w:tcMar>
              <w:top w:w="40" w:type="dxa"/>
              <w:left w:w="40" w:type="dxa"/>
              <w:bottom w:w="40" w:type="dxa"/>
              <w:right w:w="40" w:type="dxa"/>
            </w:tcMar>
            <w:vAlign w:val="bottom"/>
          </w:tcPr>
          <w:p w14:paraId="3750E287"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Total available-for-sale debt investments</w:t>
            </w:r>
          </w:p>
        </w:tc>
        <w:tc>
          <w:tcPr>
            <w:tcW w:w="0" w:type="auto"/>
            <w:shd w:val="clear" w:color="auto" w:fill="auto"/>
            <w:tcMar>
              <w:top w:w="40" w:type="dxa"/>
              <w:left w:w="40" w:type="dxa"/>
              <w:bottom w:w="40" w:type="dxa"/>
              <w:right w:w="40" w:type="dxa"/>
            </w:tcMar>
            <w:vAlign w:val="bottom"/>
          </w:tcPr>
          <w:p w14:paraId="3750E28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289"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28A"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13,886</w:t>
            </w:r>
          </w:p>
        </w:tc>
        <w:tc>
          <w:tcPr>
            <w:tcW w:w="0" w:type="auto"/>
            <w:tcBorders>
              <w:top w:val="single" w:sz="8" w:space="0" w:color="333333"/>
              <w:bottom w:val="double" w:sz="6" w:space="0" w:color="333333"/>
            </w:tcBorders>
            <w:shd w:val="clear" w:color="auto" w:fill="auto"/>
            <w:vAlign w:val="bottom"/>
          </w:tcPr>
          <w:p w14:paraId="3750E28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28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28D"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28E"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69</w:t>
            </w:r>
          </w:p>
        </w:tc>
        <w:tc>
          <w:tcPr>
            <w:tcW w:w="0" w:type="auto"/>
            <w:tcBorders>
              <w:top w:val="single" w:sz="8" w:space="0" w:color="333333"/>
              <w:bottom w:val="double" w:sz="6" w:space="0" w:color="333333"/>
            </w:tcBorders>
            <w:shd w:val="clear" w:color="auto" w:fill="auto"/>
            <w:vAlign w:val="bottom"/>
          </w:tcPr>
          <w:p w14:paraId="3750E28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29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291"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292"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(12</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E293"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3750E29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295"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296"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13,943</w:t>
            </w:r>
          </w:p>
        </w:tc>
        <w:tc>
          <w:tcPr>
            <w:tcW w:w="0" w:type="auto"/>
            <w:tcBorders>
              <w:top w:val="single" w:sz="8" w:space="0" w:color="333333"/>
              <w:bottom w:val="double" w:sz="6" w:space="0" w:color="333333"/>
            </w:tcBorders>
            <w:shd w:val="clear" w:color="auto" w:fill="auto"/>
            <w:vAlign w:val="bottom"/>
          </w:tcPr>
          <w:p w14:paraId="3750E29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29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299"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29A"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6,481</w:t>
            </w:r>
          </w:p>
        </w:tc>
        <w:tc>
          <w:tcPr>
            <w:tcW w:w="0" w:type="auto"/>
            <w:tcBorders>
              <w:top w:val="single" w:sz="8" w:space="0" w:color="333333"/>
              <w:bottom w:val="double" w:sz="6" w:space="0" w:color="333333"/>
            </w:tcBorders>
            <w:shd w:val="clear" w:color="auto" w:fill="auto"/>
            <w:vAlign w:val="bottom"/>
          </w:tcPr>
          <w:p w14:paraId="3750E29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29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29D"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29E"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63</w:t>
            </w:r>
          </w:p>
        </w:tc>
        <w:tc>
          <w:tcPr>
            <w:tcW w:w="0" w:type="auto"/>
            <w:tcBorders>
              <w:top w:val="single" w:sz="8" w:space="0" w:color="333333"/>
              <w:bottom w:val="double" w:sz="6" w:space="0" w:color="333333"/>
            </w:tcBorders>
            <w:shd w:val="clear" w:color="auto" w:fill="auto"/>
            <w:vAlign w:val="bottom"/>
          </w:tcPr>
          <w:p w14:paraId="3750E29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2A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2A1"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2A2"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E2A3"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3750E2A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2A5"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2A6"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6,543</w:t>
            </w:r>
          </w:p>
        </w:tc>
        <w:tc>
          <w:tcPr>
            <w:tcW w:w="0" w:type="auto"/>
            <w:tcBorders>
              <w:top w:val="single" w:sz="8" w:space="0" w:color="333333"/>
              <w:bottom w:val="double" w:sz="6" w:space="0" w:color="333333"/>
            </w:tcBorders>
            <w:shd w:val="clear" w:color="auto" w:fill="auto"/>
            <w:vAlign w:val="bottom"/>
          </w:tcPr>
          <w:p w14:paraId="3750E2A7" w14:textId="77777777" w:rsidR="002541AD" w:rsidRDefault="002541AD">
            <w:pPr>
              <w:textAlignment w:val="bottom"/>
              <w:rPr>
                <w:rFonts w:ascii="Times New Roman" w:hAnsi="Times New Roman"/>
                <w:sz w:val="20"/>
                <w:szCs w:val="20"/>
              </w:rPr>
            </w:pPr>
          </w:p>
        </w:tc>
      </w:tr>
    </w:tbl>
    <w:p w14:paraId="3750E2A9" w14:textId="77777777" w:rsidR="002541AD" w:rsidRDefault="002541AD"/>
    <w:p w14:paraId="3750E2AA"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Government debt includes instruments such as non-U.S. government bonds and U.S. agency securities. Financial institution instruments include instruments issued or managed by financial institutions in various forms such as </w:t>
      </w:r>
      <w:r>
        <w:rPr>
          <w:rFonts w:ascii="Arial" w:eastAsia="宋体" w:hAnsi="Arial" w:cs="Arial"/>
          <w:color w:val="333333"/>
          <w:sz w:val="18"/>
          <w:szCs w:val="18"/>
        </w:rPr>
        <w:t>commercial paper, fixed and floating rate bonds, money market fund deposits, and time deposits. Substantially all time deposits were issued by institutions outside the U.S. as of March 28, 2020 and December 28, 2019.</w:t>
      </w:r>
    </w:p>
    <w:p w14:paraId="3750E2AB" w14:textId="77777777" w:rsidR="002541AD" w:rsidRDefault="00901AA6">
      <w:pPr>
        <w:spacing w:line="288" w:lineRule="auto"/>
        <w:rPr>
          <w:rFonts w:ascii="Times New Roman" w:hAnsi="Times New Roman"/>
        </w:rPr>
      </w:pPr>
      <w:r>
        <w:rPr>
          <w:rFonts w:ascii="Arial" w:eastAsia="宋体" w:hAnsi="Arial" w:cs="Arial"/>
          <w:color w:val="333333"/>
          <w:sz w:val="18"/>
          <w:szCs w:val="18"/>
        </w:rPr>
        <w:t xml:space="preserve">The fair value of </w:t>
      </w:r>
      <w:r>
        <w:rPr>
          <w:rFonts w:ascii="Arial" w:eastAsia="宋体" w:hAnsi="Arial" w:cs="Arial"/>
          <w:color w:val="333333"/>
          <w:sz w:val="18"/>
          <w:szCs w:val="18"/>
        </w:rPr>
        <w:t>available-for-sale debt investments, by contractual maturity, as of March 28, 2020, was as follows:</w:t>
      </w:r>
    </w:p>
    <w:tbl>
      <w:tblPr>
        <w:tblW w:w="5000" w:type="pct"/>
        <w:tblCellMar>
          <w:left w:w="0" w:type="dxa"/>
          <w:right w:w="0" w:type="dxa"/>
        </w:tblCellMar>
        <w:tblLook w:val="04A0" w:firstRow="1" w:lastRow="0" w:firstColumn="1" w:lastColumn="0" w:noHBand="0" w:noVBand="1"/>
      </w:tblPr>
      <w:tblGrid>
        <w:gridCol w:w="7172"/>
        <w:gridCol w:w="130"/>
        <w:gridCol w:w="142"/>
        <w:gridCol w:w="784"/>
        <w:gridCol w:w="78"/>
      </w:tblGrid>
      <w:tr w:rsidR="002541AD" w14:paraId="3750E2AD" w14:textId="77777777">
        <w:tc>
          <w:tcPr>
            <w:tcW w:w="0" w:type="auto"/>
            <w:gridSpan w:val="5"/>
            <w:shd w:val="clear" w:color="auto" w:fill="auto"/>
            <w:vAlign w:val="center"/>
          </w:tcPr>
          <w:p w14:paraId="3750E2AC" w14:textId="77777777" w:rsidR="002541AD" w:rsidRDefault="002541AD">
            <w:pPr>
              <w:rPr>
                <w:rFonts w:ascii="Times New Roman" w:hAnsi="Times New Roman"/>
                <w:sz w:val="20"/>
                <w:szCs w:val="20"/>
              </w:rPr>
            </w:pPr>
          </w:p>
        </w:tc>
      </w:tr>
      <w:tr w:rsidR="002541AD" w14:paraId="3750E2B3" w14:textId="77777777">
        <w:tc>
          <w:tcPr>
            <w:tcW w:w="4350" w:type="pct"/>
            <w:shd w:val="clear" w:color="auto" w:fill="auto"/>
            <w:vAlign w:val="center"/>
          </w:tcPr>
          <w:p w14:paraId="3750E2AE" w14:textId="77777777" w:rsidR="002541AD" w:rsidRDefault="002541AD">
            <w:pPr>
              <w:rPr>
                <w:rFonts w:ascii="Times New Roman" w:hAnsi="Times New Roman"/>
                <w:sz w:val="20"/>
                <w:szCs w:val="20"/>
              </w:rPr>
            </w:pPr>
          </w:p>
        </w:tc>
        <w:tc>
          <w:tcPr>
            <w:tcW w:w="50" w:type="pct"/>
            <w:shd w:val="clear" w:color="auto" w:fill="auto"/>
            <w:vAlign w:val="center"/>
          </w:tcPr>
          <w:p w14:paraId="3750E2AF" w14:textId="77777777" w:rsidR="002541AD" w:rsidRDefault="002541AD">
            <w:pPr>
              <w:rPr>
                <w:rFonts w:ascii="Times New Roman" w:hAnsi="Times New Roman"/>
                <w:sz w:val="20"/>
                <w:szCs w:val="20"/>
              </w:rPr>
            </w:pPr>
          </w:p>
        </w:tc>
        <w:tc>
          <w:tcPr>
            <w:tcW w:w="50" w:type="pct"/>
            <w:shd w:val="clear" w:color="auto" w:fill="auto"/>
            <w:vAlign w:val="center"/>
          </w:tcPr>
          <w:p w14:paraId="3750E2B0" w14:textId="77777777" w:rsidR="002541AD" w:rsidRDefault="002541AD">
            <w:pPr>
              <w:rPr>
                <w:rFonts w:ascii="Times New Roman" w:hAnsi="Times New Roman"/>
                <w:sz w:val="20"/>
                <w:szCs w:val="20"/>
              </w:rPr>
            </w:pPr>
          </w:p>
        </w:tc>
        <w:tc>
          <w:tcPr>
            <w:tcW w:w="500" w:type="pct"/>
            <w:shd w:val="clear" w:color="auto" w:fill="auto"/>
            <w:vAlign w:val="center"/>
          </w:tcPr>
          <w:p w14:paraId="3750E2B1" w14:textId="77777777" w:rsidR="002541AD" w:rsidRDefault="002541AD">
            <w:pPr>
              <w:rPr>
                <w:rFonts w:ascii="Times New Roman" w:hAnsi="Times New Roman"/>
                <w:sz w:val="20"/>
                <w:szCs w:val="20"/>
              </w:rPr>
            </w:pPr>
          </w:p>
        </w:tc>
        <w:tc>
          <w:tcPr>
            <w:tcW w:w="50" w:type="pct"/>
            <w:shd w:val="clear" w:color="auto" w:fill="auto"/>
            <w:vAlign w:val="center"/>
          </w:tcPr>
          <w:p w14:paraId="3750E2B2" w14:textId="77777777" w:rsidR="002541AD" w:rsidRDefault="002541AD">
            <w:pPr>
              <w:rPr>
                <w:rFonts w:ascii="Times New Roman" w:hAnsi="Times New Roman"/>
                <w:sz w:val="20"/>
                <w:szCs w:val="20"/>
              </w:rPr>
            </w:pPr>
          </w:p>
        </w:tc>
      </w:tr>
      <w:tr w:rsidR="002541AD" w14:paraId="3750E2B7"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2B4"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E2B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2B6"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Fair Value</w:t>
            </w:r>
          </w:p>
        </w:tc>
      </w:tr>
      <w:tr w:rsidR="002541AD" w14:paraId="3750E2BD" w14:textId="77777777">
        <w:tc>
          <w:tcPr>
            <w:tcW w:w="0" w:type="auto"/>
            <w:shd w:val="clear" w:color="auto" w:fill="auto"/>
            <w:tcMar>
              <w:top w:w="40" w:type="dxa"/>
              <w:left w:w="40" w:type="dxa"/>
              <w:bottom w:w="40" w:type="dxa"/>
              <w:right w:w="40" w:type="dxa"/>
            </w:tcMar>
          </w:tcPr>
          <w:p w14:paraId="3750E2B8"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Due in 1 year or less</w:t>
            </w:r>
          </w:p>
        </w:tc>
        <w:tc>
          <w:tcPr>
            <w:tcW w:w="0" w:type="auto"/>
            <w:shd w:val="clear" w:color="auto" w:fill="auto"/>
            <w:tcMar>
              <w:top w:w="40" w:type="dxa"/>
              <w:left w:w="40" w:type="dxa"/>
              <w:bottom w:w="40" w:type="dxa"/>
              <w:right w:w="40" w:type="dxa"/>
            </w:tcMar>
            <w:vAlign w:val="bottom"/>
          </w:tcPr>
          <w:p w14:paraId="3750E2B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2BA"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2B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3,443</w:t>
            </w:r>
          </w:p>
        </w:tc>
        <w:tc>
          <w:tcPr>
            <w:tcW w:w="0" w:type="auto"/>
            <w:shd w:val="clear" w:color="auto" w:fill="auto"/>
            <w:vAlign w:val="bottom"/>
          </w:tcPr>
          <w:p w14:paraId="3750E2BC" w14:textId="77777777" w:rsidR="002541AD" w:rsidRDefault="002541AD">
            <w:pPr>
              <w:textAlignment w:val="bottom"/>
              <w:rPr>
                <w:rFonts w:ascii="Times New Roman" w:hAnsi="Times New Roman"/>
                <w:sz w:val="20"/>
                <w:szCs w:val="20"/>
              </w:rPr>
            </w:pPr>
          </w:p>
        </w:tc>
      </w:tr>
      <w:tr w:rsidR="002541AD" w14:paraId="3750E2C2" w14:textId="77777777">
        <w:tc>
          <w:tcPr>
            <w:tcW w:w="0" w:type="auto"/>
            <w:shd w:val="clear" w:color="auto" w:fill="auto"/>
            <w:tcMar>
              <w:top w:w="40" w:type="dxa"/>
              <w:left w:w="40" w:type="dxa"/>
              <w:bottom w:w="40" w:type="dxa"/>
              <w:right w:w="40" w:type="dxa"/>
            </w:tcMar>
          </w:tcPr>
          <w:p w14:paraId="3750E2BE"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Due in 1–2 years</w:t>
            </w:r>
          </w:p>
        </w:tc>
        <w:tc>
          <w:tcPr>
            <w:tcW w:w="0" w:type="auto"/>
            <w:shd w:val="clear" w:color="auto" w:fill="auto"/>
            <w:tcMar>
              <w:top w:w="40" w:type="dxa"/>
              <w:left w:w="40" w:type="dxa"/>
              <w:bottom w:w="40" w:type="dxa"/>
              <w:right w:w="40" w:type="dxa"/>
            </w:tcMar>
            <w:vAlign w:val="bottom"/>
          </w:tcPr>
          <w:p w14:paraId="3750E2B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2C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1,589</w:t>
            </w:r>
          </w:p>
        </w:tc>
        <w:tc>
          <w:tcPr>
            <w:tcW w:w="0" w:type="auto"/>
            <w:shd w:val="clear" w:color="auto" w:fill="auto"/>
            <w:vAlign w:val="bottom"/>
          </w:tcPr>
          <w:p w14:paraId="3750E2C1" w14:textId="77777777" w:rsidR="002541AD" w:rsidRDefault="002541AD">
            <w:pPr>
              <w:textAlignment w:val="bottom"/>
              <w:rPr>
                <w:rFonts w:ascii="Times New Roman" w:hAnsi="Times New Roman"/>
                <w:sz w:val="20"/>
                <w:szCs w:val="20"/>
              </w:rPr>
            </w:pPr>
          </w:p>
        </w:tc>
      </w:tr>
      <w:tr w:rsidR="002541AD" w14:paraId="3750E2C7" w14:textId="77777777">
        <w:tc>
          <w:tcPr>
            <w:tcW w:w="0" w:type="auto"/>
            <w:shd w:val="clear" w:color="auto" w:fill="auto"/>
            <w:tcMar>
              <w:top w:w="40" w:type="dxa"/>
              <w:left w:w="40" w:type="dxa"/>
              <w:bottom w:w="40" w:type="dxa"/>
              <w:right w:w="40" w:type="dxa"/>
            </w:tcMar>
          </w:tcPr>
          <w:p w14:paraId="3750E2C3"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Due in 2–5 years</w:t>
            </w:r>
          </w:p>
        </w:tc>
        <w:tc>
          <w:tcPr>
            <w:tcW w:w="0" w:type="auto"/>
            <w:shd w:val="clear" w:color="auto" w:fill="auto"/>
            <w:tcMar>
              <w:top w:w="40" w:type="dxa"/>
              <w:left w:w="40" w:type="dxa"/>
              <w:bottom w:w="40" w:type="dxa"/>
              <w:right w:w="40" w:type="dxa"/>
            </w:tcMar>
            <w:vAlign w:val="bottom"/>
          </w:tcPr>
          <w:p w14:paraId="3750E2C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2C5"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1,354</w:t>
            </w:r>
          </w:p>
        </w:tc>
        <w:tc>
          <w:tcPr>
            <w:tcW w:w="0" w:type="auto"/>
            <w:shd w:val="clear" w:color="auto" w:fill="auto"/>
            <w:vAlign w:val="bottom"/>
          </w:tcPr>
          <w:p w14:paraId="3750E2C6" w14:textId="77777777" w:rsidR="002541AD" w:rsidRDefault="002541AD">
            <w:pPr>
              <w:textAlignment w:val="bottom"/>
              <w:rPr>
                <w:rFonts w:ascii="Times New Roman" w:hAnsi="Times New Roman"/>
                <w:sz w:val="20"/>
                <w:szCs w:val="20"/>
              </w:rPr>
            </w:pPr>
          </w:p>
        </w:tc>
      </w:tr>
      <w:tr w:rsidR="002541AD" w14:paraId="3750E2CC" w14:textId="77777777">
        <w:tc>
          <w:tcPr>
            <w:tcW w:w="0" w:type="auto"/>
            <w:shd w:val="clear" w:color="auto" w:fill="auto"/>
            <w:tcMar>
              <w:top w:w="40" w:type="dxa"/>
              <w:left w:w="40" w:type="dxa"/>
              <w:bottom w:w="40" w:type="dxa"/>
              <w:right w:w="40" w:type="dxa"/>
            </w:tcMar>
          </w:tcPr>
          <w:p w14:paraId="3750E2C8"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Due after 5 years</w:t>
            </w:r>
          </w:p>
        </w:tc>
        <w:tc>
          <w:tcPr>
            <w:tcW w:w="0" w:type="auto"/>
            <w:shd w:val="clear" w:color="auto" w:fill="auto"/>
            <w:tcMar>
              <w:top w:w="40" w:type="dxa"/>
              <w:left w:w="40" w:type="dxa"/>
              <w:bottom w:w="40" w:type="dxa"/>
              <w:right w:w="40" w:type="dxa"/>
            </w:tcMar>
            <w:vAlign w:val="bottom"/>
          </w:tcPr>
          <w:p w14:paraId="3750E2C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2C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2CB" w14:textId="77777777" w:rsidR="002541AD" w:rsidRDefault="002541AD">
            <w:pPr>
              <w:textAlignment w:val="bottom"/>
              <w:rPr>
                <w:rFonts w:ascii="Times New Roman" w:hAnsi="Times New Roman"/>
                <w:sz w:val="20"/>
                <w:szCs w:val="20"/>
              </w:rPr>
            </w:pPr>
          </w:p>
        </w:tc>
      </w:tr>
      <w:tr w:rsidR="002541AD" w14:paraId="3750E2D1" w14:textId="77777777">
        <w:tc>
          <w:tcPr>
            <w:tcW w:w="0" w:type="auto"/>
            <w:shd w:val="clear" w:color="auto" w:fill="auto"/>
            <w:tcMar>
              <w:top w:w="40" w:type="dxa"/>
              <w:left w:w="40" w:type="dxa"/>
              <w:bottom w:w="40" w:type="dxa"/>
              <w:right w:w="40" w:type="dxa"/>
            </w:tcMar>
          </w:tcPr>
          <w:p w14:paraId="3750E2CD"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Instruments not due at a single maturity date</w:t>
            </w:r>
          </w:p>
        </w:tc>
        <w:tc>
          <w:tcPr>
            <w:tcW w:w="0" w:type="auto"/>
            <w:shd w:val="clear" w:color="auto" w:fill="auto"/>
            <w:tcMar>
              <w:top w:w="40" w:type="dxa"/>
              <w:left w:w="40" w:type="dxa"/>
              <w:bottom w:w="40" w:type="dxa"/>
              <w:right w:w="40" w:type="dxa"/>
            </w:tcMar>
            <w:vAlign w:val="bottom"/>
          </w:tcPr>
          <w:p w14:paraId="3750E2C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2CF"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7,557</w:t>
            </w:r>
          </w:p>
        </w:tc>
        <w:tc>
          <w:tcPr>
            <w:tcW w:w="0" w:type="auto"/>
            <w:shd w:val="clear" w:color="auto" w:fill="auto"/>
            <w:vAlign w:val="bottom"/>
          </w:tcPr>
          <w:p w14:paraId="3750E2D0" w14:textId="77777777" w:rsidR="002541AD" w:rsidRDefault="002541AD">
            <w:pPr>
              <w:textAlignment w:val="bottom"/>
              <w:rPr>
                <w:rFonts w:ascii="Times New Roman" w:hAnsi="Times New Roman"/>
                <w:sz w:val="20"/>
                <w:szCs w:val="20"/>
              </w:rPr>
            </w:pPr>
          </w:p>
        </w:tc>
      </w:tr>
      <w:tr w:rsidR="002541AD" w14:paraId="3750E2D7" w14:textId="77777777">
        <w:tc>
          <w:tcPr>
            <w:tcW w:w="0" w:type="auto"/>
            <w:shd w:val="clear" w:color="auto" w:fill="auto"/>
            <w:tcMar>
              <w:top w:w="40" w:type="dxa"/>
              <w:left w:w="40" w:type="dxa"/>
              <w:bottom w:w="40" w:type="dxa"/>
              <w:right w:w="40" w:type="dxa"/>
            </w:tcMar>
          </w:tcPr>
          <w:p w14:paraId="3750E2D2"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Total</w:t>
            </w:r>
          </w:p>
        </w:tc>
        <w:tc>
          <w:tcPr>
            <w:tcW w:w="0" w:type="auto"/>
            <w:shd w:val="clear" w:color="auto" w:fill="auto"/>
            <w:tcMar>
              <w:top w:w="40" w:type="dxa"/>
              <w:left w:w="40" w:type="dxa"/>
              <w:bottom w:w="40" w:type="dxa"/>
              <w:right w:w="40" w:type="dxa"/>
            </w:tcMar>
            <w:vAlign w:val="bottom"/>
          </w:tcPr>
          <w:p w14:paraId="3750E2D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2D4"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2D5"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13,943</w:t>
            </w:r>
          </w:p>
        </w:tc>
        <w:tc>
          <w:tcPr>
            <w:tcW w:w="0" w:type="auto"/>
            <w:tcBorders>
              <w:top w:val="single" w:sz="8" w:space="0" w:color="333333"/>
              <w:bottom w:val="double" w:sz="6" w:space="0" w:color="333333"/>
            </w:tcBorders>
            <w:shd w:val="clear" w:color="auto" w:fill="auto"/>
            <w:vAlign w:val="bottom"/>
          </w:tcPr>
          <w:p w14:paraId="3750E2D6" w14:textId="77777777" w:rsidR="002541AD" w:rsidRDefault="002541AD">
            <w:pPr>
              <w:textAlignment w:val="bottom"/>
              <w:rPr>
                <w:rFonts w:ascii="Times New Roman" w:hAnsi="Times New Roman"/>
                <w:sz w:val="20"/>
                <w:szCs w:val="20"/>
              </w:rPr>
            </w:pPr>
          </w:p>
        </w:tc>
      </w:tr>
    </w:tbl>
    <w:p w14:paraId="3750E2D8" w14:textId="77777777" w:rsidR="002541AD" w:rsidRDefault="002541AD"/>
    <w:p w14:paraId="3750E2D9"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E2DB" w14:textId="77777777">
        <w:tc>
          <w:tcPr>
            <w:tcW w:w="0" w:type="auto"/>
            <w:gridSpan w:val="3"/>
            <w:shd w:val="clear" w:color="auto" w:fill="auto"/>
            <w:vAlign w:val="center"/>
          </w:tcPr>
          <w:p w14:paraId="3750E2DA" w14:textId="77777777" w:rsidR="002541AD" w:rsidRDefault="002541AD">
            <w:pPr>
              <w:rPr>
                <w:rFonts w:ascii="Times New Roman" w:hAnsi="Times New Roman"/>
                <w:sz w:val="20"/>
                <w:szCs w:val="20"/>
              </w:rPr>
            </w:pPr>
          </w:p>
        </w:tc>
      </w:tr>
      <w:tr w:rsidR="002541AD" w14:paraId="3750E2DF" w14:textId="77777777">
        <w:tc>
          <w:tcPr>
            <w:tcW w:w="1550" w:type="pct"/>
            <w:shd w:val="clear" w:color="auto" w:fill="auto"/>
            <w:vAlign w:val="center"/>
          </w:tcPr>
          <w:p w14:paraId="3750E2DC" w14:textId="77777777" w:rsidR="002541AD" w:rsidRDefault="002541AD">
            <w:pPr>
              <w:rPr>
                <w:rFonts w:ascii="Times New Roman" w:hAnsi="Times New Roman"/>
                <w:sz w:val="20"/>
                <w:szCs w:val="20"/>
              </w:rPr>
            </w:pPr>
          </w:p>
        </w:tc>
        <w:tc>
          <w:tcPr>
            <w:tcW w:w="2200" w:type="pct"/>
            <w:shd w:val="clear" w:color="auto" w:fill="auto"/>
            <w:vAlign w:val="center"/>
          </w:tcPr>
          <w:p w14:paraId="3750E2DD" w14:textId="77777777" w:rsidR="002541AD" w:rsidRDefault="002541AD">
            <w:pPr>
              <w:rPr>
                <w:rFonts w:ascii="Times New Roman" w:hAnsi="Times New Roman"/>
                <w:sz w:val="20"/>
                <w:szCs w:val="20"/>
              </w:rPr>
            </w:pPr>
          </w:p>
        </w:tc>
        <w:tc>
          <w:tcPr>
            <w:tcW w:w="1250" w:type="pct"/>
            <w:shd w:val="clear" w:color="auto" w:fill="auto"/>
            <w:vAlign w:val="center"/>
          </w:tcPr>
          <w:p w14:paraId="3750E2DE" w14:textId="77777777" w:rsidR="002541AD" w:rsidRDefault="002541AD">
            <w:pPr>
              <w:rPr>
                <w:rFonts w:ascii="Times New Roman" w:hAnsi="Times New Roman"/>
                <w:sz w:val="20"/>
                <w:szCs w:val="20"/>
              </w:rPr>
            </w:pPr>
          </w:p>
        </w:tc>
      </w:tr>
      <w:tr w:rsidR="002541AD" w14:paraId="3750E2E3" w14:textId="77777777">
        <w:tc>
          <w:tcPr>
            <w:tcW w:w="0" w:type="auto"/>
            <w:tcBorders>
              <w:top w:val="single" w:sz="8" w:space="0" w:color="0071C5"/>
              <w:right w:val="single" w:sz="24" w:space="0" w:color="0071C5"/>
            </w:tcBorders>
            <w:shd w:val="clear" w:color="auto" w:fill="auto"/>
            <w:tcMar>
              <w:top w:w="40" w:type="dxa"/>
              <w:left w:w="40" w:type="dxa"/>
              <w:bottom w:w="40" w:type="dxa"/>
              <w:right w:w="40" w:type="dxa"/>
            </w:tcMar>
            <w:vAlign w:val="center"/>
          </w:tcPr>
          <w:p w14:paraId="3750E2E0"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6B" wp14:editId="3750F86C">
                  <wp:extent cx="304800" cy="304800"/>
                  <wp:effectExtent l="0" t="0" r="0" b="0"/>
                  <wp:docPr id="31" name="图片 69"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9"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2E1"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2E2"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15</w:t>
            </w:r>
          </w:p>
        </w:tc>
      </w:tr>
    </w:tbl>
    <w:p w14:paraId="3750E2E4" w14:textId="77777777" w:rsidR="002541AD" w:rsidRDefault="002541AD">
      <w:pPr>
        <w:spacing w:line="288" w:lineRule="auto"/>
        <w:rPr>
          <w:rFonts w:ascii="Times New Roman" w:hAnsi="Times New Roman"/>
          <w:sz w:val="18"/>
          <w:szCs w:val="18"/>
        </w:rPr>
      </w:pPr>
    </w:p>
    <w:p w14:paraId="3750E2E5" w14:textId="77777777" w:rsidR="002541AD" w:rsidRDefault="002541AD">
      <w:pPr>
        <w:spacing w:line="288" w:lineRule="auto"/>
        <w:rPr>
          <w:rFonts w:ascii="Times New Roman" w:hAnsi="Times New Roman"/>
          <w:sz w:val="18"/>
          <w:szCs w:val="18"/>
        </w:rPr>
      </w:pPr>
    </w:p>
    <w:p w14:paraId="3750E2E6" w14:textId="77777777" w:rsidR="002541AD" w:rsidRDefault="00901AA6">
      <w:r>
        <w:rPr>
          <w:rFonts w:ascii="Times New Roman" w:hAnsi="Times New Roman"/>
          <w:sz w:val="18"/>
          <w:szCs w:val="18"/>
        </w:rPr>
        <w:pict w14:anchorId="3750F86D">
          <v:rect id="_x0000_i1041" style="width:415.3pt;height:1.5pt" o:hralign="center" o:hrstd="t" o:hr="t" fillcolor="#a0a0a0" stroked="f"/>
        </w:pict>
      </w:r>
    </w:p>
    <w:p w14:paraId="3750E2E7" w14:textId="77777777" w:rsidR="002541AD" w:rsidRDefault="00901AA6">
      <w:pPr>
        <w:spacing w:line="288" w:lineRule="auto"/>
        <w:jc w:val="right"/>
        <w:rPr>
          <w:rFonts w:ascii="Times New Roman" w:hAnsi="Times New Roman"/>
          <w:sz w:val="16"/>
          <w:szCs w:val="16"/>
        </w:rPr>
      </w:pPr>
      <w:hyperlink r:id="rId44" w:anchor="s2CABEAF4222C52B4A34547BF538A8C27" w:history="1">
        <w:r>
          <w:rPr>
            <w:rStyle w:val="a5"/>
            <w:rFonts w:ascii="Arial" w:eastAsia="宋体" w:hAnsi="Arial" w:cs="Arial"/>
            <w:b/>
            <w:bCs/>
            <w:sz w:val="16"/>
            <w:szCs w:val="16"/>
          </w:rPr>
          <w:t>Table of Contents</w:t>
        </w:r>
      </w:hyperlink>
    </w:p>
    <w:p w14:paraId="3750E2E8" w14:textId="77777777" w:rsidR="002541AD" w:rsidRDefault="002541AD">
      <w:pPr>
        <w:spacing w:line="288" w:lineRule="auto"/>
        <w:jc w:val="right"/>
        <w:rPr>
          <w:rFonts w:ascii="Times New Roman" w:hAnsi="Times New Roman"/>
          <w:sz w:val="18"/>
          <w:szCs w:val="18"/>
        </w:rPr>
      </w:pPr>
    </w:p>
    <w:p w14:paraId="3750E2E9" w14:textId="77777777" w:rsidR="002541AD" w:rsidRDefault="002541AD">
      <w:pPr>
        <w:rPr>
          <w:rFonts w:ascii="Times New Roman" w:hAnsi="Times New Roman"/>
          <w:sz w:val="20"/>
          <w:szCs w:val="20"/>
        </w:rPr>
      </w:pPr>
    </w:p>
    <w:p w14:paraId="3750E2EA" w14:textId="77777777" w:rsidR="002541AD" w:rsidRDefault="00901AA6">
      <w:pPr>
        <w:spacing w:line="288" w:lineRule="auto"/>
        <w:rPr>
          <w:rFonts w:ascii="Times New Roman" w:hAnsi="Times New Roman"/>
        </w:rPr>
      </w:pPr>
      <w:r>
        <w:rPr>
          <w:rFonts w:ascii="Arial" w:eastAsia="宋体" w:hAnsi="Arial" w:cs="Arial"/>
          <w:b/>
          <w:bCs/>
          <w:color w:val="0071C5"/>
        </w:rPr>
        <w:t>EQUITY INVESTMENTS</w:t>
      </w:r>
    </w:p>
    <w:tbl>
      <w:tblPr>
        <w:tblW w:w="5000" w:type="pct"/>
        <w:tblCellMar>
          <w:left w:w="0" w:type="dxa"/>
          <w:right w:w="0" w:type="dxa"/>
        </w:tblCellMar>
        <w:tblLook w:val="04A0" w:firstRow="1" w:lastRow="0" w:firstColumn="1" w:lastColumn="0" w:noHBand="0" w:noVBand="1"/>
      </w:tblPr>
      <w:tblGrid>
        <w:gridCol w:w="6097"/>
        <w:gridCol w:w="130"/>
        <w:gridCol w:w="142"/>
        <w:gridCol w:w="782"/>
        <w:gridCol w:w="58"/>
        <w:gridCol w:w="130"/>
        <w:gridCol w:w="142"/>
        <w:gridCol w:w="766"/>
        <w:gridCol w:w="59"/>
      </w:tblGrid>
      <w:tr w:rsidR="002541AD" w14:paraId="3750E2EC" w14:textId="77777777">
        <w:tc>
          <w:tcPr>
            <w:tcW w:w="0" w:type="auto"/>
            <w:gridSpan w:val="9"/>
            <w:shd w:val="clear" w:color="auto" w:fill="auto"/>
            <w:vAlign w:val="center"/>
          </w:tcPr>
          <w:p w14:paraId="3750E2EB" w14:textId="77777777" w:rsidR="002541AD" w:rsidRDefault="002541AD">
            <w:pPr>
              <w:rPr>
                <w:rFonts w:ascii="Times New Roman" w:hAnsi="Times New Roman"/>
                <w:sz w:val="20"/>
                <w:szCs w:val="20"/>
              </w:rPr>
            </w:pPr>
          </w:p>
        </w:tc>
      </w:tr>
      <w:tr w:rsidR="002541AD" w14:paraId="3750E2F6" w14:textId="77777777">
        <w:tc>
          <w:tcPr>
            <w:tcW w:w="3700" w:type="pct"/>
            <w:shd w:val="clear" w:color="auto" w:fill="auto"/>
            <w:vAlign w:val="center"/>
          </w:tcPr>
          <w:p w14:paraId="3750E2ED" w14:textId="77777777" w:rsidR="002541AD" w:rsidRDefault="002541AD">
            <w:pPr>
              <w:rPr>
                <w:rFonts w:ascii="Times New Roman" w:hAnsi="Times New Roman"/>
                <w:sz w:val="20"/>
                <w:szCs w:val="20"/>
              </w:rPr>
            </w:pPr>
          </w:p>
        </w:tc>
        <w:tc>
          <w:tcPr>
            <w:tcW w:w="50" w:type="pct"/>
            <w:shd w:val="clear" w:color="auto" w:fill="auto"/>
            <w:vAlign w:val="center"/>
          </w:tcPr>
          <w:p w14:paraId="3750E2EE" w14:textId="77777777" w:rsidR="002541AD" w:rsidRDefault="002541AD">
            <w:pPr>
              <w:rPr>
                <w:rFonts w:ascii="Times New Roman" w:hAnsi="Times New Roman"/>
                <w:sz w:val="20"/>
                <w:szCs w:val="20"/>
              </w:rPr>
            </w:pPr>
          </w:p>
        </w:tc>
        <w:tc>
          <w:tcPr>
            <w:tcW w:w="50" w:type="pct"/>
            <w:shd w:val="clear" w:color="auto" w:fill="auto"/>
            <w:vAlign w:val="center"/>
          </w:tcPr>
          <w:p w14:paraId="3750E2EF" w14:textId="77777777" w:rsidR="002541AD" w:rsidRDefault="002541AD">
            <w:pPr>
              <w:rPr>
                <w:rFonts w:ascii="Times New Roman" w:hAnsi="Times New Roman"/>
                <w:sz w:val="20"/>
                <w:szCs w:val="20"/>
              </w:rPr>
            </w:pPr>
          </w:p>
        </w:tc>
        <w:tc>
          <w:tcPr>
            <w:tcW w:w="500" w:type="pct"/>
            <w:shd w:val="clear" w:color="auto" w:fill="auto"/>
            <w:vAlign w:val="center"/>
          </w:tcPr>
          <w:p w14:paraId="3750E2F0" w14:textId="77777777" w:rsidR="002541AD" w:rsidRDefault="002541AD">
            <w:pPr>
              <w:rPr>
                <w:rFonts w:ascii="Times New Roman" w:hAnsi="Times New Roman"/>
                <w:sz w:val="20"/>
                <w:szCs w:val="20"/>
              </w:rPr>
            </w:pPr>
          </w:p>
        </w:tc>
        <w:tc>
          <w:tcPr>
            <w:tcW w:w="50" w:type="pct"/>
            <w:shd w:val="clear" w:color="auto" w:fill="auto"/>
            <w:vAlign w:val="center"/>
          </w:tcPr>
          <w:p w14:paraId="3750E2F1" w14:textId="77777777" w:rsidR="002541AD" w:rsidRDefault="002541AD">
            <w:pPr>
              <w:rPr>
                <w:rFonts w:ascii="Times New Roman" w:hAnsi="Times New Roman"/>
                <w:sz w:val="20"/>
                <w:szCs w:val="20"/>
              </w:rPr>
            </w:pPr>
          </w:p>
        </w:tc>
        <w:tc>
          <w:tcPr>
            <w:tcW w:w="50" w:type="pct"/>
            <w:shd w:val="clear" w:color="auto" w:fill="auto"/>
            <w:vAlign w:val="center"/>
          </w:tcPr>
          <w:p w14:paraId="3750E2F2" w14:textId="77777777" w:rsidR="002541AD" w:rsidRDefault="002541AD">
            <w:pPr>
              <w:rPr>
                <w:rFonts w:ascii="Times New Roman" w:hAnsi="Times New Roman"/>
                <w:sz w:val="20"/>
                <w:szCs w:val="20"/>
              </w:rPr>
            </w:pPr>
          </w:p>
        </w:tc>
        <w:tc>
          <w:tcPr>
            <w:tcW w:w="50" w:type="pct"/>
            <w:shd w:val="clear" w:color="auto" w:fill="auto"/>
            <w:vAlign w:val="center"/>
          </w:tcPr>
          <w:p w14:paraId="3750E2F3" w14:textId="77777777" w:rsidR="002541AD" w:rsidRDefault="002541AD">
            <w:pPr>
              <w:rPr>
                <w:rFonts w:ascii="Times New Roman" w:hAnsi="Times New Roman"/>
                <w:sz w:val="20"/>
                <w:szCs w:val="20"/>
              </w:rPr>
            </w:pPr>
          </w:p>
        </w:tc>
        <w:tc>
          <w:tcPr>
            <w:tcW w:w="500" w:type="pct"/>
            <w:shd w:val="clear" w:color="auto" w:fill="auto"/>
            <w:vAlign w:val="center"/>
          </w:tcPr>
          <w:p w14:paraId="3750E2F4" w14:textId="77777777" w:rsidR="002541AD" w:rsidRDefault="002541AD">
            <w:pPr>
              <w:rPr>
                <w:rFonts w:ascii="Times New Roman" w:hAnsi="Times New Roman"/>
                <w:sz w:val="20"/>
                <w:szCs w:val="20"/>
              </w:rPr>
            </w:pPr>
          </w:p>
        </w:tc>
        <w:tc>
          <w:tcPr>
            <w:tcW w:w="50" w:type="pct"/>
            <w:shd w:val="clear" w:color="auto" w:fill="auto"/>
            <w:vAlign w:val="center"/>
          </w:tcPr>
          <w:p w14:paraId="3750E2F5" w14:textId="77777777" w:rsidR="002541AD" w:rsidRDefault="002541AD">
            <w:pPr>
              <w:rPr>
                <w:rFonts w:ascii="Times New Roman" w:hAnsi="Times New Roman"/>
                <w:sz w:val="20"/>
                <w:szCs w:val="20"/>
              </w:rPr>
            </w:pPr>
          </w:p>
        </w:tc>
      </w:tr>
      <w:tr w:rsidR="002541AD" w14:paraId="3750E2FC"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2F7"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E2F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2F9"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c>
          <w:tcPr>
            <w:tcW w:w="0" w:type="auto"/>
            <w:shd w:val="clear" w:color="auto" w:fill="auto"/>
            <w:tcMar>
              <w:top w:w="40" w:type="dxa"/>
              <w:left w:w="40" w:type="dxa"/>
              <w:bottom w:w="40" w:type="dxa"/>
              <w:right w:w="40" w:type="dxa"/>
            </w:tcMar>
            <w:vAlign w:val="bottom"/>
          </w:tcPr>
          <w:p w14:paraId="3750E2F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2FB"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r>
      <w:tr w:rsidR="002541AD" w14:paraId="3750E306" w14:textId="77777777">
        <w:tc>
          <w:tcPr>
            <w:tcW w:w="0" w:type="auto"/>
            <w:shd w:val="clear" w:color="auto" w:fill="auto"/>
            <w:tcMar>
              <w:top w:w="40" w:type="dxa"/>
              <w:left w:w="40" w:type="dxa"/>
              <w:bottom w:w="40" w:type="dxa"/>
              <w:right w:w="40" w:type="dxa"/>
            </w:tcMar>
          </w:tcPr>
          <w:p w14:paraId="3750E2FD"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Marketable equity securities</w:t>
            </w:r>
          </w:p>
        </w:tc>
        <w:tc>
          <w:tcPr>
            <w:tcW w:w="0" w:type="auto"/>
            <w:shd w:val="clear" w:color="auto" w:fill="auto"/>
            <w:tcMar>
              <w:top w:w="40" w:type="dxa"/>
              <w:left w:w="40" w:type="dxa"/>
              <w:bottom w:w="40" w:type="dxa"/>
              <w:right w:w="40" w:type="dxa"/>
            </w:tcMar>
            <w:vAlign w:val="bottom"/>
          </w:tcPr>
          <w:p w14:paraId="3750E2F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2FF"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30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330</w:t>
            </w:r>
          </w:p>
        </w:tc>
        <w:tc>
          <w:tcPr>
            <w:tcW w:w="0" w:type="auto"/>
            <w:shd w:val="clear" w:color="auto" w:fill="auto"/>
            <w:vAlign w:val="bottom"/>
          </w:tcPr>
          <w:p w14:paraId="3750E30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30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303"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30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450</w:t>
            </w:r>
          </w:p>
        </w:tc>
        <w:tc>
          <w:tcPr>
            <w:tcW w:w="0" w:type="auto"/>
            <w:shd w:val="clear" w:color="auto" w:fill="auto"/>
            <w:vAlign w:val="bottom"/>
          </w:tcPr>
          <w:p w14:paraId="3750E305" w14:textId="77777777" w:rsidR="002541AD" w:rsidRDefault="002541AD">
            <w:pPr>
              <w:textAlignment w:val="bottom"/>
              <w:rPr>
                <w:rFonts w:ascii="Times New Roman" w:hAnsi="Times New Roman"/>
                <w:sz w:val="20"/>
                <w:szCs w:val="20"/>
              </w:rPr>
            </w:pPr>
          </w:p>
        </w:tc>
      </w:tr>
      <w:tr w:rsidR="002541AD" w14:paraId="3750E30E" w14:textId="77777777">
        <w:tc>
          <w:tcPr>
            <w:tcW w:w="0" w:type="auto"/>
            <w:shd w:val="clear" w:color="auto" w:fill="auto"/>
            <w:tcMar>
              <w:top w:w="40" w:type="dxa"/>
              <w:left w:w="40" w:type="dxa"/>
              <w:bottom w:w="40" w:type="dxa"/>
              <w:right w:w="40" w:type="dxa"/>
            </w:tcMar>
          </w:tcPr>
          <w:p w14:paraId="3750E307"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 xml:space="preserve">Non-marketable equity securities </w:t>
            </w:r>
          </w:p>
        </w:tc>
        <w:tc>
          <w:tcPr>
            <w:tcW w:w="0" w:type="auto"/>
            <w:shd w:val="clear" w:color="auto" w:fill="auto"/>
            <w:tcMar>
              <w:top w:w="40" w:type="dxa"/>
              <w:left w:w="40" w:type="dxa"/>
              <w:bottom w:w="40" w:type="dxa"/>
              <w:right w:w="40" w:type="dxa"/>
            </w:tcMar>
            <w:vAlign w:val="bottom"/>
          </w:tcPr>
          <w:p w14:paraId="3750E30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30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3,522</w:t>
            </w:r>
          </w:p>
        </w:tc>
        <w:tc>
          <w:tcPr>
            <w:tcW w:w="0" w:type="auto"/>
            <w:shd w:val="clear" w:color="auto" w:fill="auto"/>
            <w:vAlign w:val="bottom"/>
          </w:tcPr>
          <w:p w14:paraId="3750E30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30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30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3,480</w:t>
            </w:r>
          </w:p>
        </w:tc>
        <w:tc>
          <w:tcPr>
            <w:tcW w:w="0" w:type="auto"/>
            <w:shd w:val="clear" w:color="auto" w:fill="auto"/>
            <w:vAlign w:val="bottom"/>
          </w:tcPr>
          <w:p w14:paraId="3750E30D" w14:textId="77777777" w:rsidR="002541AD" w:rsidRDefault="002541AD">
            <w:pPr>
              <w:textAlignment w:val="bottom"/>
              <w:rPr>
                <w:rFonts w:ascii="Times New Roman" w:hAnsi="Times New Roman"/>
                <w:sz w:val="20"/>
                <w:szCs w:val="20"/>
              </w:rPr>
            </w:pPr>
          </w:p>
        </w:tc>
      </w:tr>
      <w:tr w:rsidR="002541AD" w14:paraId="3750E316" w14:textId="77777777">
        <w:tc>
          <w:tcPr>
            <w:tcW w:w="0" w:type="auto"/>
            <w:shd w:val="clear" w:color="auto" w:fill="auto"/>
            <w:tcMar>
              <w:top w:w="40" w:type="dxa"/>
              <w:left w:w="40" w:type="dxa"/>
              <w:bottom w:w="40" w:type="dxa"/>
              <w:right w:w="40" w:type="dxa"/>
            </w:tcMar>
          </w:tcPr>
          <w:p w14:paraId="3750E30F"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Equity method investments</w:t>
            </w:r>
          </w:p>
        </w:tc>
        <w:tc>
          <w:tcPr>
            <w:tcW w:w="0" w:type="auto"/>
            <w:shd w:val="clear" w:color="auto" w:fill="auto"/>
            <w:tcMar>
              <w:top w:w="40" w:type="dxa"/>
              <w:left w:w="40" w:type="dxa"/>
              <w:bottom w:w="40" w:type="dxa"/>
              <w:right w:w="40" w:type="dxa"/>
            </w:tcMar>
            <w:vAlign w:val="bottom"/>
          </w:tcPr>
          <w:p w14:paraId="3750E31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E31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28</w:t>
            </w:r>
          </w:p>
        </w:tc>
        <w:tc>
          <w:tcPr>
            <w:tcW w:w="0" w:type="auto"/>
            <w:tcBorders>
              <w:bottom w:val="single" w:sz="8" w:space="0" w:color="333333"/>
            </w:tcBorders>
            <w:shd w:val="clear" w:color="auto" w:fill="auto"/>
            <w:vAlign w:val="bottom"/>
          </w:tcPr>
          <w:p w14:paraId="3750E31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31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E31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37</w:t>
            </w:r>
          </w:p>
        </w:tc>
        <w:tc>
          <w:tcPr>
            <w:tcW w:w="0" w:type="auto"/>
            <w:tcBorders>
              <w:bottom w:val="single" w:sz="8" w:space="0" w:color="333333"/>
            </w:tcBorders>
            <w:shd w:val="clear" w:color="auto" w:fill="auto"/>
            <w:vAlign w:val="bottom"/>
          </w:tcPr>
          <w:p w14:paraId="3750E315" w14:textId="77777777" w:rsidR="002541AD" w:rsidRDefault="002541AD">
            <w:pPr>
              <w:textAlignment w:val="bottom"/>
              <w:rPr>
                <w:rFonts w:ascii="Times New Roman" w:hAnsi="Times New Roman"/>
                <w:sz w:val="20"/>
                <w:szCs w:val="20"/>
              </w:rPr>
            </w:pPr>
          </w:p>
        </w:tc>
      </w:tr>
      <w:tr w:rsidR="002541AD" w14:paraId="3750E320" w14:textId="77777777">
        <w:tc>
          <w:tcPr>
            <w:tcW w:w="0" w:type="auto"/>
            <w:shd w:val="clear" w:color="auto" w:fill="auto"/>
            <w:tcMar>
              <w:top w:w="40" w:type="dxa"/>
              <w:left w:w="40" w:type="dxa"/>
              <w:bottom w:w="40" w:type="dxa"/>
              <w:right w:w="40" w:type="dxa"/>
            </w:tcMar>
          </w:tcPr>
          <w:p w14:paraId="3750E317" w14:textId="77777777" w:rsidR="002541AD" w:rsidRDefault="00901AA6">
            <w:pPr>
              <w:textAlignment w:val="top"/>
              <w:rPr>
                <w:rFonts w:ascii="Times New Roman" w:hAnsi="Times New Roman"/>
                <w:sz w:val="18"/>
                <w:szCs w:val="18"/>
              </w:rPr>
            </w:pPr>
            <w:r>
              <w:rPr>
                <w:rFonts w:ascii="Arial" w:eastAsia="宋体" w:hAnsi="Arial" w:cs="Arial"/>
                <w:b/>
                <w:bCs/>
                <w:color w:val="333333"/>
                <w:sz w:val="18"/>
                <w:szCs w:val="18"/>
              </w:rPr>
              <w:t>Total</w:t>
            </w:r>
          </w:p>
        </w:tc>
        <w:tc>
          <w:tcPr>
            <w:tcW w:w="0" w:type="auto"/>
            <w:shd w:val="clear" w:color="auto" w:fill="auto"/>
            <w:tcMar>
              <w:top w:w="40" w:type="dxa"/>
              <w:left w:w="40" w:type="dxa"/>
              <w:bottom w:w="40" w:type="dxa"/>
              <w:right w:w="40" w:type="dxa"/>
            </w:tcMar>
            <w:vAlign w:val="bottom"/>
          </w:tcPr>
          <w:p w14:paraId="3750E31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319"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31A"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3,880</w:t>
            </w:r>
          </w:p>
        </w:tc>
        <w:tc>
          <w:tcPr>
            <w:tcW w:w="0" w:type="auto"/>
            <w:tcBorders>
              <w:top w:val="single" w:sz="8" w:space="0" w:color="333333"/>
              <w:bottom w:val="double" w:sz="6" w:space="0" w:color="333333"/>
            </w:tcBorders>
            <w:shd w:val="clear" w:color="auto" w:fill="auto"/>
            <w:vAlign w:val="bottom"/>
          </w:tcPr>
          <w:p w14:paraId="3750E31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31C" w14:textId="77777777" w:rsidR="002541AD" w:rsidRDefault="002541AD">
            <w:pPr>
              <w:jc w:val="right"/>
              <w:textAlignment w:val="bottom"/>
              <w:rPr>
                <w:rFonts w:ascii="Times New Roman" w:hAnsi="Times New Roman"/>
                <w:sz w:val="18"/>
                <w:szCs w:val="18"/>
              </w:rPr>
            </w:pP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31D"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31E"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3,967</w:t>
            </w:r>
          </w:p>
        </w:tc>
        <w:tc>
          <w:tcPr>
            <w:tcW w:w="0" w:type="auto"/>
            <w:tcBorders>
              <w:top w:val="single" w:sz="8" w:space="0" w:color="333333"/>
              <w:bottom w:val="double" w:sz="6" w:space="0" w:color="333333"/>
            </w:tcBorders>
            <w:shd w:val="clear" w:color="auto" w:fill="auto"/>
            <w:vAlign w:val="bottom"/>
          </w:tcPr>
          <w:p w14:paraId="3750E31F" w14:textId="77777777" w:rsidR="002541AD" w:rsidRDefault="002541AD">
            <w:pPr>
              <w:textAlignment w:val="bottom"/>
              <w:rPr>
                <w:rFonts w:ascii="Times New Roman" w:hAnsi="Times New Roman"/>
                <w:sz w:val="20"/>
                <w:szCs w:val="20"/>
              </w:rPr>
            </w:pPr>
          </w:p>
        </w:tc>
      </w:tr>
    </w:tbl>
    <w:p w14:paraId="3750E321" w14:textId="77777777" w:rsidR="002541AD" w:rsidRDefault="002541AD">
      <w:pPr>
        <w:spacing w:line="288" w:lineRule="auto"/>
        <w:rPr>
          <w:rFonts w:ascii="Times New Roman" w:hAnsi="Times New Roman"/>
          <w:sz w:val="20"/>
          <w:szCs w:val="20"/>
        </w:rPr>
      </w:pPr>
    </w:p>
    <w:p w14:paraId="3750E322"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We recognized $143 million of impairment charges on our </w:t>
      </w:r>
      <w:r>
        <w:rPr>
          <w:rFonts w:ascii="Arial" w:eastAsia="宋体" w:hAnsi="Arial" w:cs="Arial"/>
          <w:color w:val="333333"/>
          <w:sz w:val="18"/>
          <w:szCs w:val="18"/>
        </w:rPr>
        <w:t>non-marketable portfolio in the first three months of 2020 based on our assessment of the impact of recent public and private market volatility and tightening of liquidity.</w:t>
      </w:r>
    </w:p>
    <w:p w14:paraId="3750E323" w14:textId="77777777" w:rsidR="002541AD" w:rsidRDefault="00901AA6">
      <w:pPr>
        <w:spacing w:line="288" w:lineRule="auto"/>
        <w:rPr>
          <w:rFonts w:ascii="Times New Roman" w:hAnsi="Times New Roman"/>
          <w:sz w:val="20"/>
          <w:szCs w:val="20"/>
        </w:rPr>
      </w:pPr>
      <w:r>
        <w:rPr>
          <w:rFonts w:ascii="Arial" w:eastAsia="宋体" w:hAnsi="Arial" w:cs="Arial"/>
          <w:color w:val="333333"/>
          <w:sz w:val="18"/>
          <w:szCs w:val="18"/>
        </w:rPr>
        <w:t>The components of gains (losses) on equity investments, net for each period were as</w:t>
      </w:r>
      <w:r>
        <w:rPr>
          <w:rFonts w:ascii="Arial" w:eastAsia="宋体" w:hAnsi="Arial" w:cs="Arial"/>
          <w:color w:val="333333"/>
          <w:sz w:val="18"/>
          <w:szCs w:val="18"/>
        </w:rPr>
        <w:t xml:space="preserve"> follows:</w:t>
      </w:r>
    </w:p>
    <w:tbl>
      <w:tblPr>
        <w:tblW w:w="5000" w:type="pct"/>
        <w:tblCellMar>
          <w:left w:w="0" w:type="dxa"/>
          <w:right w:w="0" w:type="dxa"/>
        </w:tblCellMar>
        <w:tblLook w:val="04A0" w:firstRow="1" w:lastRow="0" w:firstColumn="1" w:lastColumn="0" w:noHBand="0" w:noVBand="1"/>
      </w:tblPr>
      <w:tblGrid>
        <w:gridCol w:w="6063"/>
        <w:gridCol w:w="130"/>
        <w:gridCol w:w="142"/>
        <w:gridCol w:w="748"/>
        <w:gridCol w:w="101"/>
        <w:gridCol w:w="130"/>
        <w:gridCol w:w="142"/>
        <w:gridCol w:w="749"/>
        <w:gridCol w:w="101"/>
      </w:tblGrid>
      <w:tr w:rsidR="002541AD" w14:paraId="3750E325" w14:textId="77777777">
        <w:tc>
          <w:tcPr>
            <w:tcW w:w="0" w:type="auto"/>
            <w:gridSpan w:val="9"/>
            <w:shd w:val="clear" w:color="auto" w:fill="auto"/>
            <w:vAlign w:val="center"/>
          </w:tcPr>
          <w:p w14:paraId="3750E324" w14:textId="77777777" w:rsidR="002541AD" w:rsidRDefault="002541AD">
            <w:pPr>
              <w:rPr>
                <w:rFonts w:ascii="Times New Roman" w:hAnsi="Times New Roman"/>
                <w:sz w:val="20"/>
                <w:szCs w:val="20"/>
              </w:rPr>
            </w:pPr>
          </w:p>
        </w:tc>
      </w:tr>
      <w:tr w:rsidR="002541AD" w14:paraId="3750E32F" w14:textId="77777777">
        <w:tc>
          <w:tcPr>
            <w:tcW w:w="3700" w:type="pct"/>
            <w:shd w:val="clear" w:color="auto" w:fill="auto"/>
            <w:vAlign w:val="center"/>
          </w:tcPr>
          <w:p w14:paraId="3750E326" w14:textId="77777777" w:rsidR="002541AD" w:rsidRDefault="002541AD">
            <w:pPr>
              <w:rPr>
                <w:rFonts w:ascii="Times New Roman" w:hAnsi="Times New Roman"/>
                <w:sz w:val="20"/>
                <w:szCs w:val="20"/>
              </w:rPr>
            </w:pPr>
          </w:p>
        </w:tc>
        <w:tc>
          <w:tcPr>
            <w:tcW w:w="50" w:type="pct"/>
            <w:shd w:val="clear" w:color="auto" w:fill="auto"/>
            <w:vAlign w:val="center"/>
          </w:tcPr>
          <w:p w14:paraId="3750E327" w14:textId="77777777" w:rsidR="002541AD" w:rsidRDefault="002541AD">
            <w:pPr>
              <w:rPr>
                <w:rFonts w:ascii="Times New Roman" w:hAnsi="Times New Roman"/>
                <w:sz w:val="20"/>
                <w:szCs w:val="20"/>
              </w:rPr>
            </w:pPr>
          </w:p>
        </w:tc>
        <w:tc>
          <w:tcPr>
            <w:tcW w:w="50" w:type="pct"/>
            <w:shd w:val="clear" w:color="auto" w:fill="auto"/>
            <w:vAlign w:val="center"/>
          </w:tcPr>
          <w:p w14:paraId="3750E328" w14:textId="77777777" w:rsidR="002541AD" w:rsidRDefault="002541AD">
            <w:pPr>
              <w:rPr>
                <w:rFonts w:ascii="Times New Roman" w:hAnsi="Times New Roman"/>
                <w:sz w:val="20"/>
                <w:szCs w:val="20"/>
              </w:rPr>
            </w:pPr>
          </w:p>
        </w:tc>
        <w:tc>
          <w:tcPr>
            <w:tcW w:w="500" w:type="pct"/>
            <w:shd w:val="clear" w:color="auto" w:fill="auto"/>
            <w:vAlign w:val="center"/>
          </w:tcPr>
          <w:p w14:paraId="3750E329" w14:textId="77777777" w:rsidR="002541AD" w:rsidRDefault="002541AD">
            <w:pPr>
              <w:rPr>
                <w:rFonts w:ascii="Times New Roman" w:hAnsi="Times New Roman"/>
                <w:sz w:val="20"/>
                <w:szCs w:val="20"/>
              </w:rPr>
            </w:pPr>
          </w:p>
        </w:tc>
        <w:tc>
          <w:tcPr>
            <w:tcW w:w="50" w:type="pct"/>
            <w:shd w:val="clear" w:color="auto" w:fill="auto"/>
            <w:vAlign w:val="center"/>
          </w:tcPr>
          <w:p w14:paraId="3750E32A" w14:textId="77777777" w:rsidR="002541AD" w:rsidRDefault="002541AD">
            <w:pPr>
              <w:rPr>
                <w:rFonts w:ascii="Times New Roman" w:hAnsi="Times New Roman"/>
                <w:sz w:val="20"/>
                <w:szCs w:val="20"/>
              </w:rPr>
            </w:pPr>
          </w:p>
        </w:tc>
        <w:tc>
          <w:tcPr>
            <w:tcW w:w="50" w:type="pct"/>
            <w:shd w:val="clear" w:color="auto" w:fill="auto"/>
            <w:vAlign w:val="center"/>
          </w:tcPr>
          <w:p w14:paraId="3750E32B" w14:textId="77777777" w:rsidR="002541AD" w:rsidRDefault="002541AD">
            <w:pPr>
              <w:rPr>
                <w:rFonts w:ascii="Times New Roman" w:hAnsi="Times New Roman"/>
                <w:sz w:val="20"/>
                <w:szCs w:val="20"/>
              </w:rPr>
            </w:pPr>
          </w:p>
        </w:tc>
        <w:tc>
          <w:tcPr>
            <w:tcW w:w="50" w:type="pct"/>
            <w:shd w:val="clear" w:color="auto" w:fill="auto"/>
            <w:vAlign w:val="center"/>
          </w:tcPr>
          <w:p w14:paraId="3750E32C" w14:textId="77777777" w:rsidR="002541AD" w:rsidRDefault="002541AD">
            <w:pPr>
              <w:rPr>
                <w:rFonts w:ascii="Times New Roman" w:hAnsi="Times New Roman"/>
                <w:sz w:val="20"/>
                <w:szCs w:val="20"/>
              </w:rPr>
            </w:pPr>
          </w:p>
        </w:tc>
        <w:tc>
          <w:tcPr>
            <w:tcW w:w="500" w:type="pct"/>
            <w:shd w:val="clear" w:color="auto" w:fill="auto"/>
            <w:vAlign w:val="center"/>
          </w:tcPr>
          <w:p w14:paraId="3750E32D" w14:textId="77777777" w:rsidR="002541AD" w:rsidRDefault="002541AD">
            <w:pPr>
              <w:rPr>
                <w:rFonts w:ascii="Times New Roman" w:hAnsi="Times New Roman"/>
                <w:sz w:val="20"/>
                <w:szCs w:val="20"/>
              </w:rPr>
            </w:pPr>
          </w:p>
        </w:tc>
        <w:tc>
          <w:tcPr>
            <w:tcW w:w="50" w:type="pct"/>
            <w:shd w:val="clear" w:color="auto" w:fill="auto"/>
            <w:vAlign w:val="center"/>
          </w:tcPr>
          <w:p w14:paraId="3750E32E" w14:textId="77777777" w:rsidR="002541AD" w:rsidRDefault="002541AD">
            <w:pPr>
              <w:rPr>
                <w:rFonts w:ascii="Times New Roman" w:hAnsi="Times New Roman"/>
                <w:sz w:val="20"/>
                <w:szCs w:val="20"/>
              </w:rPr>
            </w:pPr>
          </w:p>
        </w:tc>
      </w:tr>
      <w:tr w:rsidR="002541AD" w14:paraId="3750E333" w14:textId="77777777">
        <w:tc>
          <w:tcPr>
            <w:tcW w:w="0" w:type="auto"/>
            <w:shd w:val="clear" w:color="auto" w:fill="auto"/>
            <w:tcMar>
              <w:top w:w="40" w:type="dxa"/>
              <w:left w:w="40" w:type="dxa"/>
              <w:bottom w:w="40" w:type="dxa"/>
              <w:right w:w="40" w:type="dxa"/>
            </w:tcMar>
            <w:vAlign w:val="bottom"/>
          </w:tcPr>
          <w:p w14:paraId="3750E330" w14:textId="77777777" w:rsidR="002541AD" w:rsidRDefault="00901AA6">
            <w:pPr>
              <w:ind w:hanging="240"/>
              <w:textAlignment w:val="bottom"/>
              <w:rPr>
                <w:rFonts w:ascii="Times New Roman" w:hAnsi="Times New Roman"/>
                <w:sz w:val="16"/>
                <w:szCs w:val="16"/>
              </w:rPr>
            </w:pPr>
            <w:r>
              <w:rPr>
                <w:rFonts w:ascii="Arial" w:eastAsia="宋体" w:hAnsi="Arial" w:cs="Arial"/>
                <w:color w:val="333333"/>
                <w:sz w:val="16"/>
                <w:szCs w:val="16"/>
              </w:rPr>
              <w:t> </w:t>
            </w:r>
          </w:p>
        </w:tc>
        <w:tc>
          <w:tcPr>
            <w:tcW w:w="0" w:type="auto"/>
            <w:shd w:val="clear" w:color="auto" w:fill="auto"/>
            <w:tcMar>
              <w:top w:w="40" w:type="dxa"/>
              <w:left w:w="40" w:type="dxa"/>
              <w:bottom w:w="40" w:type="dxa"/>
              <w:right w:w="40" w:type="dxa"/>
            </w:tcMar>
            <w:vAlign w:val="bottom"/>
          </w:tcPr>
          <w:p w14:paraId="3750E33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3750E332"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Three Months Ended</w:t>
            </w:r>
          </w:p>
        </w:tc>
      </w:tr>
      <w:tr w:rsidR="002541AD" w14:paraId="3750E339"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334"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E33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336"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c>
          <w:tcPr>
            <w:tcW w:w="0" w:type="auto"/>
            <w:shd w:val="clear" w:color="auto" w:fill="auto"/>
            <w:tcMar>
              <w:top w:w="40" w:type="dxa"/>
              <w:left w:w="40" w:type="dxa"/>
              <w:bottom w:w="40" w:type="dxa"/>
              <w:right w:w="40" w:type="dxa"/>
            </w:tcMar>
            <w:vAlign w:val="bottom"/>
          </w:tcPr>
          <w:p w14:paraId="3750E33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338"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30, </w:t>
            </w:r>
            <w:r>
              <w:rPr>
                <w:rFonts w:ascii="Arial" w:eastAsia="宋体" w:hAnsi="Arial" w:cs="Arial"/>
                <w:b/>
                <w:bCs/>
                <w:color w:val="333333"/>
                <w:sz w:val="18"/>
                <w:szCs w:val="18"/>
              </w:rPr>
              <w:br/>
              <w:t>2019</w:t>
            </w:r>
          </w:p>
        </w:tc>
      </w:tr>
      <w:tr w:rsidR="002541AD" w14:paraId="3750E343" w14:textId="77777777">
        <w:tc>
          <w:tcPr>
            <w:tcW w:w="0" w:type="auto"/>
            <w:tcBorders>
              <w:top w:val="single" w:sz="8" w:space="0" w:color="0071C5"/>
            </w:tcBorders>
            <w:shd w:val="clear" w:color="auto" w:fill="auto"/>
            <w:tcMar>
              <w:top w:w="40" w:type="dxa"/>
              <w:left w:w="40" w:type="dxa"/>
              <w:bottom w:w="40" w:type="dxa"/>
              <w:right w:w="40" w:type="dxa"/>
            </w:tcMar>
          </w:tcPr>
          <w:p w14:paraId="3750E33A"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Ongoing mark-to-market adjustments on marketable equity securities</w:t>
            </w:r>
          </w:p>
        </w:tc>
        <w:tc>
          <w:tcPr>
            <w:tcW w:w="0" w:type="auto"/>
            <w:shd w:val="clear" w:color="auto" w:fill="auto"/>
            <w:tcMar>
              <w:top w:w="40" w:type="dxa"/>
              <w:left w:w="40" w:type="dxa"/>
              <w:bottom w:w="40" w:type="dxa"/>
              <w:right w:w="40" w:type="dxa"/>
            </w:tcMar>
            <w:vAlign w:val="bottom"/>
          </w:tcPr>
          <w:p w14:paraId="3750E33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3750E33C"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3750E33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(103</w:t>
            </w:r>
          </w:p>
        </w:tc>
        <w:tc>
          <w:tcPr>
            <w:tcW w:w="0" w:type="auto"/>
            <w:tcBorders>
              <w:top w:val="single" w:sz="8" w:space="0" w:color="0071C5"/>
            </w:tcBorders>
            <w:shd w:val="clear" w:color="auto" w:fill="auto"/>
            <w:tcMar>
              <w:top w:w="40" w:type="dxa"/>
              <w:bottom w:w="40" w:type="dxa"/>
              <w:right w:w="40" w:type="dxa"/>
            </w:tcMar>
            <w:vAlign w:val="bottom"/>
          </w:tcPr>
          <w:p w14:paraId="3750E33E"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33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3750E340"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3750E341"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253</w:t>
            </w:r>
          </w:p>
        </w:tc>
        <w:tc>
          <w:tcPr>
            <w:tcW w:w="0" w:type="auto"/>
            <w:tcBorders>
              <w:top w:val="single" w:sz="8" w:space="0" w:color="0071C5"/>
            </w:tcBorders>
            <w:shd w:val="clear" w:color="auto" w:fill="auto"/>
            <w:vAlign w:val="bottom"/>
          </w:tcPr>
          <w:p w14:paraId="3750E342" w14:textId="77777777" w:rsidR="002541AD" w:rsidRDefault="002541AD">
            <w:pPr>
              <w:textAlignment w:val="bottom"/>
              <w:rPr>
                <w:rFonts w:ascii="Times New Roman" w:hAnsi="Times New Roman"/>
                <w:sz w:val="20"/>
                <w:szCs w:val="20"/>
              </w:rPr>
            </w:pPr>
          </w:p>
        </w:tc>
      </w:tr>
      <w:tr w:rsidR="002541AD" w14:paraId="3750E34B" w14:textId="77777777">
        <w:tc>
          <w:tcPr>
            <w:tcW w:w="0" w:type="auto"/>
            <w:shd w:val="clear" w:color="auto" w:fill="auto"/>
            <w:tcMar>
              <w:top w:w="40" w:type="dxa"/>
              <w:left w:w="40" w:type="dxa"/>
              <w:bottom w:w="40" w:type="dxa"/>
              <w:right w:w="40" w:type="dxa"/>
            </w:tcMar>
            <w:vAlign w:val="bottom"/>
          </w:tcPr>
          <w:p w14:paraId="3750E344"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Observable price adjustments on non-marketable equity securities</w:t>
            </w:r>
          </w:p>
        </w:tc>
        <w:tc>
          <w:tcPr>
            <w:tcW w:w="0" w:type="auto"/>
            <w:shd w:val="clear" w:color="auto" w:fill="auto"/>
            <w:tcMar>
              <w:top w:w="40" w:type="dxa"/>
              <w:left w:w="40" w:type="dxa"/>
              <w:bottom w:w="40" w:type="dxa"/>
              <w:right w:w="40" w:type="dxa"/>
            </w:tcMar>
            <w:vAlign w:val="bottom"/>
          </w:tcPr>
          <w:p w14:paraId="3750E34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34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79</w:t>
            </w:r>
          </w:p>
        </w:tc>
        <w:tc>
          <w:tcPr>
            <w:tcW w:w="0" w:type="auto"/>
            <w:shd w:val="clear" w:color="auto" w:fill="auto"/>
            <w:vAlign w:val="bottom"/>
          </w:tcPr>
          <w:p w14:paraId="3750E34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34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34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8</w:t>
            </w:r>
          </w:p>
        </w:tc>
        <w:tc>
          <w:tcPr>
            <w:tcW w:w="0" w:type="auto"/>
            <w:shd w:val="clear" w:color="auto" w:fill="auto"/>
            <w:vAlign w:val="bottom"/>
          </w:tcPr>
          <w:p w14:paraId="3750E34A" w14:textId="77777777" w:rsidR="002541AD" w:rsidRDefault="002541AD">
            <w:pPr>
              <w:textAlignment w:val="bottom"/>
              <w:rPr>
                <w:rFonts w:ascii="Times New Roman" w:hAnsi="Times New Roman"/>
                <w:sz w:val="20"/>
                <w:szCs w:val="20"/>
              </w:rPr>
            </w:pPr>
          </w:p>
        </w:tc>
      </w:tr>
      <w:tr w:rsidR="002541AD" w14:paraId="3750E353" w14:textId="77777777">
        <w:tc>
          <w:tcPr>
            <w:tcW w:w="0" w:type="auto"/>
            <w:shd w:val="clear" w:color="auto" w:fill="auto"/>
            <w:tcMar>
              <w:top w:w="40" w:type="dxa"/>
              <w:left w:w="40" w:type="dxa"/>
              <w:bottom w:w="40" w:type="dxa"/>
              <w:right w:w="40" w:type="dxa"/>
            </w:tcMar>
          </w:tcPr>
          <w:p w14:paraId="3750E34C"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Impairment charges</w:t>
            </w:r>
          </w:p>
        </w:tc>
        <w:tc>
          <w:tcPr>
            <w:tcW w:w="0" w:type="auto"/>
            <w:shd w:val="clear" w:color="auto" w:fill="auto"/>
            <w:tcMar>
              <w:top w:w="40" w:type="dxa"/>
              <w:left w:w="40" w:type="dxa"/>
              <w:bottom w:w="40" w:type="dxa"/>
              <w:right w:w="40" w:type="dxa"/>
            </w:tcMar>
            <w:vAlign w:val="bottom"/>
          </w:tcPr>
          <w:p w14:paraId="3750E34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34E"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(143</w:t>
            </w:r>
          </w:p>
        </w:tc>
        <w:tc>
          <w:tcPr>
            <w:tcW w:w="0" w:type="auto"/>
            <w:shd w:val="clear" w:color="auto" w:fill="auto"/>
            <w:tcMar>
              <w:top w:w="40" w:type="dxa"/>
              <w:bottom w:w="40" w:type="dxa"/>
              <w:right w:w="40" w:type="dxa"/>
            </w:tcMar>
            <w:vAlign w:val="bottom"/>
          </w:tcPr>
          <w:p w14:paraId="3750E34F"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35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351"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(23</w:t>
            </w:r>
          </w:p>
        </w:tc>
        <w:tc>
          <w:tcPr>
            <w:tcW w:w="0" w:type="auto"/>
            <w:shd w:val="clear" w:color="auto" w:fill="auto"/>
            <w:tcMar>
              <w:top w:w="40" w:type="dxa"/>
              <w:bottom w:w="40" w:type="dxa"/>
              <w:right w:w="40" w:type="dxa"/>
            </w:tcMar>
            <w:vAlign w:val="bottom"/>
          </w:tcPr>
          <w:p w14:paraId="3750E352"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E35B" w14:textId="77777777">
        <w:tc>
          <w:tcPr>
            <w:tcW w:w="0" w:type="auto"/>
            <w:shd w:val="clear" w:color="auto" w:fill="auto"/>
            <w:tcMar>
              <w:top w:w="40" w:type="dxa"/>
              <w:left w:w="40" w:type="dxa"/>
              <w:bottom w:w="40" w:type="dxa"/>
              <w:right w:w="40" w:type="dxa"/>
            </w:tcMar>
          </w:tcPr>
          <w:p w14:paraId="3750E354"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Sale of equity investments and other¹</w:t>
            </w:r>
          </w:p>
        </w:tc>
        <w:tc>
          <w:tcPr>
            <w:tcW w:w="0" w:type="auto"/>
            <w:shd w:val="clear" w:color="auto" w:fill="auto"/>
            <w:tcMar>
              <w:top w:w="40" w:type="dxa"/>
              <w:left w:w="40" w:type="dxa"/>
              <w:bottom w:w="40" w:type="dxa"/>
              <w:right w:w="40" w:type="dxa"/>
            </w:tcMar>
            <w:vAlign w:val="bottom"/>
          </w:tcPr>
          <w:p w14:paraId="3750E35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35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56</w:t>
            </w:r>
          </w:p>
        </w:tc>
        <w:tc>
          <w:tcPr>
            <w:tcW w:w="0" w:type="auto"/>
            <w:shd w:val="clear" w:color="auto" w:fill="auto"/>
            <w:vAlign w:val="bottom"/>
          </w:tcPr>
          <w:p w14:paraId="3750E35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35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E35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196</w:t>
            </w:r>
          </w:p>
        </w:tc>
        <w:tc>
          <w:tcPr>
            <w:tcW w:w="0" w:type="auto"/>
            <w:tcBorders>
              <w:bottom w:val="single" w:sz="8" w:space="0" w:color="333333"/>
            </w:tcBorders>
            <w:shd w:val="clear" w:color="auto" w:fill="auto"/>
            <w:vAlign w:val="bottom"/>
          </w:tcPr>
          <w:p w14:paraId="3750E35A" w14:textId="77777777" w:rsidR="002541AD" w:rsidRDefault="002541AD">
            <w:pPr>
              <w:textAlignment w:val="bottom"/>
              <w:rPr>
                <w:rFonts w:ascii="Times New Roman" w:hAnsi="Times New Roman"/>
                <w:sz w:val="20"/>
                <w:szCs w:val="20"/>
              </w:rPr>
            </w:pPr>
          </w:p>
        </w:tc>
      </w:tr>
      <w:tr w:rsidR="002541AD" w14:paraId="3750E365" w14:textId="77777777">
        <w:tc>
          <w:tcPr>
            <w:tcW w:w="0" w:type="auto"/>
            <w:shd w:val="clear" w:color="auto" w:fill="auto"/>
            <w:tcMar>
              <w:top w:w="40" w:type="dxa"/>
              <w:left w:w="40" w:type="dxa"/>
              <w:bottom w:w="40" w:type="dxa"/>
              <w:right w:w="40" w:type="dxa"/>
            </w:tcMar>
          </w:tcPr>
          <w:p w14:paraId="3750E35C"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Total gains (losses) on equity investments, net</w:t>
            </w:r>
          </w:p>
        </w:tc>
        <w:tc>
          <w:tcPr>
            <w:tcW w:w="0" w:type="auto"/>
            <w:shd w:val="clear" w:color="auto" w:fill="auto"/>
            <w:tcMar>
              <w:top w:w="40" w:type="dxa"/>
              <w:left w:w="40" w:type="dxa"/>
              <w:bottom w:w="40" w:type="dxa"/>
              <w:right w:w="40" w:type="dxa"/>
            </w:tcMar>
            <w:vAlign w:val="bottom"/>
          </w:tcPr>
          <w:p w14:paraId="3750E35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35E"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35F"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(111</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E360"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3750E36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362"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363"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434</w:t>
            </w:r>
          </w:p>
        </w:tc>
        <w:tc>
          <w:tcPr>
            <w:tcW w:w="0" w:type="auto"/>
            <w:tcBorders>
              <w:top w:val="single" w:sz="8" w:space="0" w:color="333333"/>
              <w:bottom w:val="double" w:sz="6" w:space="0" w:color="333333"/>
            </w:tcBorders>
            <w:shd w:val="clear" w:color="auto" w:fill="auto"/>
            <w:vAlign w:val="bottom"/>
          </w:tcPr>
          <w:p w14:paraId="3750E364" w14:textId="77777777" w:rsidR="002541AD" w:rsidRDefault="002541AD">
            <w:pPr>
              <w:textAlignment w:val="bottom"/>
              <w:rPr>
                <w:rFonts w:ascii="Times New Roman" w:hAnsi="Times New Roman"/>
                <w:sz w:val="20"/>
                <w:szCs w:val="20"/>
              </w:rPr>
            </w:pPr>
          </w:p>
        </w:tc>
      </w:tr>
    </w:tbl>
    <w:p w14:paraId="3750E366" w14:textId="77777777" w:rsidR="002541AD" w:rsidRDefault="002541AD"/>
    <w:p w14:paraId="3750E367" w14:textId="77777777" w:rsidR="002541AD" w:rsidRDefault="00901AA6">
      <w:pPr>
        <w:spacing w:line="288" w:lineRule="auto"/>
        <w:ind w:hanging="240"/>
        <w:rPr>
          <w:rFonts w:ascii="Times New Roman" w:hAnsi="Times New Roman"/>
          <w:sz w:val="16"/>
          <w:szCs w:val="16"/>
        </w:rPr>
      </w:pPr>
      <w:r>
        <w:rPr>
          <w:rFonts w:ascii="Arial" w:eastAsia="宋体" w:hAnsi="Arial" w:cs="Arial"/>
          <w:i/>
          <w:iCs/>
          <w:color w:val="333333"/>
          <w:sz w:val="10"/>
          <w:szCs w:val="10"/>
        </w:rPr>
        <w:t>1</w:t>
      </w:r>
      <w:r>
        <w:rPr>
          <w:rFonts w:ascii="Arial" w:eastAsia="宋体" w:hAnsi="Arial" w:cs="Arial"/>
          <w:i/>
          <w:iCs/>
          <w:color w:val="333333"/>
          <w:sz w:val="16"/>
          <w:szCs w:val="16"/>
        </w:rPr>
        <w:t xml:space="preserve"> Sale of equity investments and other includes realized gains (losses) on sales of non-marketable equity investments, our share of equity method investee gains (losses) and distributions, and initial fair value adjustments recorded upon a security becoming</w:t>
      </w:r>
      <w:r>
        <w:rPr>
          <w:rFonts w:ascii="Arial" w:eastAsia="宋体" w:hAnsi="Arial" w:cs="Arial"/>
          <w:i/>
          <w:iCs/>
          <w:color w:val="333333"/>
          <w:sz w:val="16"/>
          <w:szCs w:val="16"/>
        </w:rPr>
        <w:t xml:space="preserve"> marketable. </w:t>
      </w:r>
    </w:p>
    <w:p w14:paraId="3750E368" w14:textId="77777777" w:rsidR="002541AD" w:rsidRDefault="00901AA6">
      <w:pPr>
        <w:spacing w:line="288" w:lineRule="auto"/>
        <w:rPr>
          <w:rFonts w:ascii="Times New Roman" w:hAnsi="Times New Roman"/>
          <w:sz w:val="20"/>
          <w:szCs w:val="20"/>
        </w:rPr>
      </w:pPr>
      <w:r>
        <w:rPr>
          <w:rFonts w:ascii="Arial" w:eastAsia="宋体" w:hAnsi="Arial" w:cs="Arial"/>
          <w:color w:val="333333"/>
          <w:sz w:val="18"/>
          <w:szCs w:val="18"/>
        </w:rPr>
        <w:t>Gains and losses for our marketable and non-marketable equity securities during the period were as follows:</w:t>
      </w:r>
    </w:p>
    <w:tbl>
      <w:tblPr>
        <w:tblW w:w="5000" w:type="pct"/>
        <w:tblCellMar>
          <w:left w:w="0" w:type="dxa"/>
          <w:right w:w="0" w:type="dxa"/>
        </w:tblCellMar>
        <w:tblLook w:val="04A0" w:firstRow="1" w:lastRow="0" w:firstColumn="1" w:lastColumn="0" w:noHBand="0" w:noVBand="1"/>
      </w:tblPr>
      <w:tblGrid>
        <w:gridCol w:w="6063"/>
        <w:gridCol w:w="130"/>
        <w:gridCol w:w="142"/>
        <w:gridCol w:w="748"/>
        <w:gridCol w:w="101"/>
        <w:gridCol w:w="130"/>
        <w:gridCol w:w="142"/>
        <w:gridCol w:w="749"/>
        <w:gridCol w:w="101"/>
      </w:tblGrid>
      <w:tr w:rsidR="002541AD" w14:paraId="3750E36A" w14:textId="77777777">
        <w:tc>
          <w:tcPr>
            <w:tcW w:w="0" w:type="auto"/>
            <w:gridSpan w:val="9"/>
            <w:shd w:val="clear" w:color="auto" w:fill="auto"/>
            <w:vAlign w:val="center"/>
          </w:tcPr>
          <w:p w14:paraId="3750E369" w14:textId="77777777" w:rsidR="002541AD" w:rsidRDefault="002541AD">
            <w:pPr>
              <w:rPr>
                <w:rFonts w:ascii="Times New Roman" w:hAnsi="Times New Roman"/>
                <w:sz w:val="20"/>
                <w:szCs w:val="20"/>
              </w:rPr>
            </w:pPr>
          </w:p>
        </w:tc>
      </w:tr>
      <w:tr w:rsidR="002541AD" w14:paraId="3750E374" w14:textId="77777777">
        <w:tc>
          <w:tcPr>
            <w:tcW w:w="3700" w:type="pct"/>
            <w:shd w:val="clear" w:color="auto" w:fill="auto"/>
            <w:vAlign w:val="center"/>
          </w:tcPr>
          <w:p w14:paraId="3750E36B" w14:textId="77777777" w:rsidR="002541AD" w:rsidRDefault="002541AD">
            <w:pPr>
              <w:rPr>
                <w:rFonts w:ascii="Times New Roman" w:hAnsi="Times New Roman"/>
                <w:sz w:val="20"/>
                <w:szCs w:val="20"/>
              </w:rPr>
            </w:pPr>
          </w:p>
        </w:tc>
        <w:tc>
          <w:tcPr>
            <w:tcW w:w="50" w:type="pct"/>
            <w:shd w:val="clear" w:color="auto" w:fill="auto"/>
            <w:vAlign w:val="center"/>
          </w:tcPr>
          <w:p w14:paraId="3750E36C" w14:textId="77777777" w:rsidR="002541AD" w:rsidRDefault="002541AD">
            <w:pPr>
              <w:rPr>
                <w:rFonts w:ascii="Times New Roman" w:hAnsi="Times New Roman"/>
                <w:sz w:val="20"/>
                <w:szCs w:val="20"/>
              </w:rPr>
            </w:pPr>
          </w:p>
        </w:tc>
        <w:tc>
          <w:tcPr>
            <w:tcW w:w="50" w:type="pct"/>
            <w:shd w:val="clear" w:color="auto" w:fill="auto"/>
            <w:vAlign w:val="center"/>
          </w:tcPr>
          <w:p w14:paraId="3750E36D" w14:textId="77777777" w:rsidR="002541AD" w:rsidRDefault="002541AD">
            <w:pPr>
              <w:rPr>
                <w:rFonts w:ascii="Times New Roman" w:hAnsi="Times New Roman"/>
                <w:sz w:val="20"/>
                <w:szCs w:val="20"/>
              </w:rPr>
            </w:pPr>
          </w:p>
        </w:tc>
        <w:tc>
          <w:tcPr>
            <w:tcW w:w="500" w:type="pct"/>
            <w:shd w:val="clear" w:color="auto" w:fill="auto"/>
            <w:vAlign w:val="center"/>
          </w:tcPr>
          <w:p w14:paraId="3750E36E" w14:textId="77777777" w:rsidR="002541AD" w:rsidRDefault="002541AD">
            <w:pPr>
              <w:rPr>
                <w:rFonts w:ascii="Times New Roman" w:hAnsi="Times New Roman"/>
                <w:sz w:val="20"/>
                <w:szCs w:val="20"/>
              </w:rPr>
            </w:pPr>
          </w:p>
        </w:tc>
        <w:tc>
          <w:tcPr>
            <w:tcW w:w="50" w:type="pct"/>
            <w:shd w:val="clear" w:color="auto" w:fill="auto"/>
            <w:vAlign w:val="center"/>
          </w:tcPr>
          <w:p w14:paraId="3750E36F" w14:textId="77777777" w:rsidR="002541AD" w:rsidRDefault="002541AD">
            <w:pPr>
              <w:rPr>
                <w:rFonts w:ascii="Times New Roman" w:hAnsi="Times New Roman"/>
                <w:sz w:val="20"/>
                <w:szCs w:val="20"/>
              </w:rPr>
            </w:pPr>
          </w:p>
        </w:tc>
        <w:tc>
          <w:tcPr>
            <w:tcW w:w="50" w:type="pct"/>
            <w:shd w:val="clear" w:color="auto" w:fill="auto"/>
            <w:vAlign w:val="center"/>
          </w:tcPr>
          <w:p w14:paraId="3750E370" w14:textId="77777777" w:rsidR="002541AD" w:rsidRDefault="002541AD">
            <w:pPr>
              <w:rPr>
                <w:rFonts w:ascii="Times New Roman" w:hAnsi="Times New Roman"/>
                <w:sz w:val="20"/>
                <w:szCs w:val="20"/>
              </w:rPr>
            </w:pPr>
          </w:p>
        </w:tc>
        <w:tc>
          <w:tcPr>
            <w:tcW w:w="50" w:type="pct"/>
            <w:shd w:val="clear" w:color="auto" w:fill="auto"/>
            <w:vAlign w:val="center"/>
          </w:tcPr>
          <w:p w14:paraId="3750E371" w14:textId="77777777" w:rsidR="002541AD" w:rsidRDefault="002541AD">
            <w:pPr>
              <w:rPr>
                <w:rFonts w:ascii="Times New Roman" w:hAnsi="Times New Roman"/>
                <w:sz w:val="20"/>
                <w:szCs w:val="20"/>
              </w:rPr>
            </w:pPr>
          </w:p>
        </w:tc>
        <w:tc>
          <w:tcPr>
            <w:tcW w:w="500" w:type="pct"/>
            <w:shd w:val="clear" w:color="auto" w:fill="auto"/>
            <w:vAlign w:val="center"/>
          </w:tcPr>
          <w:p w14:paraId="3750E372" w14:textId="77777777" w:rsidR="002541AD" w:rsidRDefault="002541AD">
            <w:pPr>
              <w:rPr>
                <w:rFonts w:ascii="Times New Roman" w:hAnsi="Times New Roman"/>
                <w:sz w:val="20"/>
                <w:szCs w:val="20"/>
              </w:rPr>
            </w:pPr>
          </w:p>
        </w:tc>
        <w:tc>
          <w:tcPr>
            <w:tcW w:w="50" w:type="pct"/>
            <w:shd w:val="clear" w:color="auto" w:fill="auto"/>
            <w:vAlign w:val="center"/>
          </w:tcPr>
          <w:p w14:paraId="3750E373" w14:textId="77777777" w:rsidR="002541AD" w:rsidRDefault="002541AD">
            <w:pPr>
              <w:rPr>
                <w:rFonts w:ascii="Times New Roman" w:hAnsi="Times New Roman"/>
                <w:sz w:val="20"/>
                <w:szCs w:val="20"/>
              </w:rPr>
            </w:pPr>
          </w:p>
        </w:tc>
      </w:tr>
      <w:tr w:rsidR="002541AD" w14:paraId="3750E378" w14:textId="77777777">
        <w:tc>
          <w:tcPr>
            <w:tcW w:w="0" w:type="auto"/>
            <w:shd w:val="clear" w:color="auto" w:fill="auto"/>
            <w:tcMar>
              <w:top w:w="40" w:type="dxa"/>
              <w:left w:w="40" w:type="dxa"/>
              <w:bottom w:w="40" w:type="dxa"/>
              <w:right w:w="40" w:type="dxa"/>
            </w:tcMar>
            <w:vAlign w:val="bottom"/>
          </w:tcPr>
          <w:p w14:paraId="3750E37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37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3750E377"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Three Months Ended</w:t>
            </w:r>
          </w:p>
        </w:tc>
      </w:tr>
      <w:tr w:rsidR="002541AD" w14:paraId="3750E37E"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379"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E37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37B"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c>
          <w:tcPr>
            <w:tcW w:w="0" w:type="auto"/>
            <w:shd w:val="clear" w:color="auto" w:fill="auto"/>
            <w:tcMar>
              <w:top w:w="40" w:type="dxa"/>
              <w:left w:w="40" w:type="dxa"/>
              <w:bottom w:w="40" w:type="dxa"/>
              <w:right w:w="40" w:type="dxa"/>
            </w:tcMar>
            <w:vAlign w:val="bottom"/>
          </w:tcPr>
          <w:p w14:paraId="3750E37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37D"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30, </w:t>
            </w:r>
            <w:r>
              <w:rPr>
                <w:rFonts w:ascii="Arial" w:eastAsia="宋体" w:hAnsi="Arial" w:cs="Arial"/>
                <w:b/>
                <w:bCs/>
                <w:color w:val="333333"/>
                <w:sz w:val="18"/>
                <w:szCs w:val="18"/>
              </w:rPr>
              <w:br/>
              <w:t>2019</w:t>
            </w:r>
          </w:p>
        </w:tc>
      </w:tr>
      <w:tr w:rsidR="002541AD" w14:paraId="3750E388" w14:textId="77777777">
        <w:tc>
          <w:tcPr>
            <w:tcW w:w="0" w:type="auto"/>
            <w:shd w:val="clear" w:color="auto" w:fill="auto"/>
            <w:tcMar>
              <w:top w:w="40" w:type="dxa"/>
              <w:left w:w="40" w:type="dxa"/>
              <w:bottom w:w="40" w:type="dxa"/>
              <w:right w:w="40" w:type="dxa"/>
            </w:tcMar>
          </w:tcPr>
          <w:p w14:paraId="3750E37F"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 xml:space="preserve">Net gains (losses) recognized during the </w:t>
            </w:r>
            <w:r>
              <w:rPr>
                <w:rFonts w:ascii="Arial" w:eastAsia="宋体" w:hAnsi="Arial" w:cs="Arial"/>
                <w:color w:val="333333"/>
                <w:sz w:val="18"/>
                <w:szCs w:val="18"/>
              </w:rPr>
              <w:t>period on equity securities</w:t>
            </w:r>
          </w:p>
        </w:tc>
        <w:tc>
          <w:tcPr>
            <w:tcW w:w="0" w:type="auto"/>
            <w:shd w:val="clear" w:color="auto" w:fill="auto"/>
            <w:tcMar>
              <w:top w:w="40" w:type="dxa"/>
              <w:left w:w="40" w:type="dxa"/>
              <w:bottom w:w="40" w:type="dxa"/>
              <w:right w:w="40" w:type="dxa"/>
            </w:tcMar>
            <w:vAlign w:val="bottom"/>
          </w:tcPr>
          <w:p w14:paraId="3750E38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3750E381"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3750E382"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(140</w:t>
            </w:r>
          </w:p>
        </w:tc>
        <w:tc>
          <w:tcPr>
            <w:tcW w:w="0" w:type="auto"/>
            <w:tcBorders>
              <w:top w:val="single" w:sz="8" w:space="0" w:color="0071C5"/>
            </w:tcBorders>
            <w:shd w:val="clear" w:color="auto" w:fill="auto"/>
            <w:tcMar>
              <w:top w:w="40" w:type="dxa"/>
              <w:bottom w:w="40" w:type="dxa"/>
              <w:right w:w="40" w:type="dxa"/>
            </w:tcMar>
            <w:vAlign w:val="bottom"/>
          </w:tcPr>
          <w:p w14:paraId="3750E383"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38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3750E385"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3750E38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263</w:t>
            </w:r>
          </w:p>
        </w:tc>
        <w:tc>
          <w:tcPr>
            <w:tcW w:w="0" w:type="auto"/>
            <w:tcBorders>
              <w:top w:val="single" w:sz="8" w:space="0" w:color="0071C5"/>
            </w:tcBorders>
            <w:shd w:val="clear" w:color="auto" w:fill="auto"/>
            <w:vAlign w:val="bottom"/>
          </w:tcPr>
          <w:p w14:paraId="3750E387" w14:textId="77777777" w:rsidR="002541AD" w:rsidRDefault="002541AD">
            <w:pPr>
              <w:textAlignment w:val="bottom"/>
              <w:rPr>
                <w:rFonts w:ascii="Times New Roman" w:hAnsi="Times New Roman"/>
                <w:sz w:val="20"/>
                <w:szCs w:val="20"/>
              </w:rPr>
            </w:pPr>
          </w:p>
        </w:tc>
      </w:tr>
      <w:tr w:rsidR="002541AD" w14:paraId="3750E390" w14:textId="77777777">
        <w:tc>
          <w:tcPr>
            <w:tcW w:w="0" w:type="auto"/>
            <w:shd w:val="clear" w:color="auto" w:fill="auto"/>
            <w:tcMar>
              <w:top w:w="40" w:type="dxa"/>
              <w:left w:w="40" w:type="dxa"/>
              <w:bottom w:w="40" w:type="dxa"/>
              <w:right w:w="40" w:type="dxa"/>
            </w:tcMar>
          </w:tcPr>
          <w:p w14:paraId="3750E389"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Less: Net (gains) losses recognized during the period on equity securities sold during the period</w:t>
            </w:r>
          </w:p>
        </w:tc>
        <w:tc>
          <w:tcPr>
            <w:tcW w:w="0" w:type="auto"/>
            <w:shd w:val="clear" w:color="auto" w:fill="auto"/>
            <w:tcMar>
              <w:top w:w="40" w:type="dxa"/>
              <w:left w:w="40" w:type="dxa"/>
              <w:bottom w:w="40" w:type="dxa"/>
              <w:right w:w="40" w:type="dxa"/>
            </w:tcMar>
            <w:vAlign w:val="bottom"/>
          </w:tcPr>
          <w:p w14:paraId="3750E38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38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w:t>
            </w:r>
          </w:p>
        </w:tc>
        <w:tc>
          <w:tcPr>
            <w:tcW w:w="0" w:type="auto"/>
            <w:shd w:val="clear" w:color="auto" w:fill="auto"/>
            <w:tcMar>
              <w:top w:w="40" w:type="dxa"/>
              <w:bottom w:w="40" w:type="dxa"/>
              <w:right w:w="40" w:type="dxa"/>
            </w:tcMar>
            <w:vAlign w:val="bottom"/>
          </w:tcPr>
          <w:p w14:paraId="3750E38C"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38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E38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(190</w:t>
            </w:r>
          </w:p>
        </w:tc>
        <w:tc>
          <w:tcPr>
            <w:tcW w:w="0" w:type="auto"/>
            <w:tcBorders>
              <w:bottom w:val="single" w:sz="8" w:space="0" w:color="333333"/>
            </w:tcBorders>
            <w:shd w:val="clear" w:color="auto" w:fill="auto"/>
            <w:tcMar>
              <w:top w:w="40" w:type="dxa"/>
              <w:bottom w:w="40" w:type="dxa"/>
              <w:right w:w="40" w:type="dxa"/>
            </w:tcMar>
            <w:vAlign w:val="bottom"/>
          </w:tcPr>
          <w:p w14:paraId="3750E38F"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E39A" w14:textId="77777777">
        <w:tc>
          <w:tcPr>
            <w:tcW w:w="0" w:type="auto"/>
            <w:shd w:val="clear" w:color="auto" w:fill="auto"/>
            <w:tcMar>
              <w:top w:w="40" w:type="dxa"/>
              <w:left w:w="40" w:type="dxa"/>
              <w:bottom w:w="40" w:type="dxa"/>
              <w:right w:w="40" w:type="dxa"/>
            </w:tcMar>
          </w:tcPr>
          <w:p w14:paraId="3750E391"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 xml:space="preserve">Unrealized gains (losses) recognized during the reporting period on equity </w:t>
            </w:r>
            <w:r>
              <w:rPr>
                <w:rFonts w:ascii="Arial" w:eastAsia="宋体" w:hAnsi="Arial" w:cs="Arial"/>
                <w:b/>
                <w:bCs/>
                <w:color w:val="333333"/>
                <w:sz w:val="18"/>
                <w:szCs w:val="18"/>
              </w:rPr>
              <w:t>securities still held at the reporting date</w:t>
            </w:r>
          </w:p>
        </w:tc>
        <w:tc>
          <w:tcPr>
            <w:tcW w:w="0" w:type="auto"/>
            <w:shd w:val="clear" w:color="auto" w:fill="auto"/>
            <w:tcMar>
              <w:top w:w="40" w:type="dxa"/>
              <w:left w:w="40" w:type="dxa"/>
              <w:bottom w:w="40" w:type="dxa"/>
              <w:right w:w="40" w:type="dxa"/>
            </w:tcMar>
            <w:vAlign w:val="bottom"/>
          </w:tcPr>
          <w:p w14:paraId="3750E39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393"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394"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(147</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E395"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3750E39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397"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398"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73</w:t>
            </w:r>
          </w:p>
        </w:tc>
        <w:tc>
          <w:tcPr>
            <w:tcW w:w="0" w:type="auto"/>
            <w:tcBorders>
              <w:top w:val="single" w:sz="8" w:space="0" w:color="333333"/>
              <w:bottom w:val="double" w:sz="6" w:space="0" w:color="333333"/>
            </w:tcBorders>
            <w:shd w:val="clear" w:color="auto" w:fill="auto"/>
            <w:vAlign w:val="bottom"/>
          </w:tcPr>
          <w:p w14:paraId="3750E399" w14:textId="77777777" w:rsidR="002541AD" w:rsidRDefault="002541AD">
            <w:pPr>
              <w:textAlignment w:val="bottom"/>
              <w:rPr>
                <w:rFonts w:ascii="Times New Roman" w:hAnsi="Times New Roman"/>
                <w:sz w:val="20"/>
                <w:szCs w:val="20"/>
              </w:rPr>
            </w:pPr>
          </w:p>
        </w:tc>
      </w:tr>
    </w:tbl>
    <w:p w14:paraId="3750E39B" w14:textId="77777777" w:rsidR="002541AD" w:rsidRDefault="002541AD"/>
    <w:p w14:paraId="3750E39C" w14:textId="77777777" w:rsidR="002541AD" w:rsidRDefault="00901AA6">
      <w:pPr>
        <w:spacing w:line="288" w:lineRule="auto"/>
        <w:rPr>
          <w:rFonts w:ascii="Times New Roman" w:hAnsi="Times New Roman"/>
          <w:sz w:val="20"/>
          <w:szCs w:val="20"/>
        </w:rPr>
      </w:pPr>
      <w:r>
        <w:rPr>
          <w:rFonts w:ascii="Arial" w:eastAsia="宋体" w:hAnsi="Arial" w:cs="Arial"/>
          <w:b/>
          <w:bCs/>
          <w:color w:val="333333"/>
          <w:sz w:val="20"/>
          <w:szCs w:val="20"/>
        </w:rPr>
        <w:t>IMFT</w:t>
      </w:r>
    </w:p>
    <w:p w14:paraId="3750E39D"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IMFT was formed in 2006 by Micron Technology, Inc. (Micron) and Intel to jointly develop NAND flash memory and 3D XPoint™ technology products. As of </w:t>
      </w:r>
      <w:r>
        <w:rPr>
          <w:rFonts w:ascii="Arial" w:eastAsia="宋体" w:hAnsi="Arial" w:cs="Arial"/>
          <w:color w:val="333333"/>
          <w:sz w:val="18"/>
          <w:szCs w:val="18"/>
        </w:rPr>
        <w:t>March 30, 2019</w:t>
      </w:r>
      <w:r>
        <w:rPr>
          <w:rFonts w:ascii="Arial" w:eastAsia="宋体" w:hAnsi="Arial" w:cs="Arial"/>
          <w:color w:val="333333"/>
          <w:sz w:val="18"/>
          <w:szCs w:val="18"/>
        </w:rPr>
        <w:t xml:space="preserve">, we had a carrying value of </w:t>
      </w:r>
      <w:r>
        <w:rPr>
          <w:rFonts w:ascii="Arial" w:eastAsia="宋体" w:hAnsi="Arial" w:cs="Arial"/>
          <w:color w:val="333333"/>
          <w:sz w:val="18"/>
          <w:szCs w:val="18"/>
        </w:rPr>
        <w:t>$1.5 billion</w:t>
      </w:r>
      <w:r>
        <w:rPr>
          <w:rFonts w:ascii="Arial" w:eastAsia="宋体" w:hAnsi="Arial" w:cs="Arial"/>
          <w:color w:val="333333"/>
          <w:sz w:val="18"/>
          <w:szCs w:val="18"/>
        </w:rPr>
        <w:t xml:space="preserve"> in IMFT and owned a 49% interest in the unconsolida</w:t>
      </w:r>
      <w:r>
        <w:rPr>
          <w:rFonts w:ascii="Arial" w:eastAsia="宋体" w:hAnsi="Arial" w:cs="Arial"/>
          <w:color w:val="333333"/>
          <w:sz w:val="18"/>
          <w:szCs w:val="18"/>
        </w:rPr>
        <w:t>ted variable interest entity. We sold our non-controlling interest in IMFT to Micron in October 2019. We will continue to purchase product manufactured by Micron at the IMFT facility under supply agreements, which include the next generation of 3DXpoint te</w:t>
      </w:r>
      <w:r>
        <w:rPr>
          <w:rFonts w:ascii="Arial" w:eastAsia="宋体" w:hAnsi="Arial" w:cs="Arial"/>
          <w:color w:val="333333"/>
          <w:sz w:val="18"/>
          <w:szCs w:val="18"/>
        </w:rPr>
        <w:t>chnology.</w:t>
      </w:r>
    </w:p>
    <w:tbl>
      <w:tblPr>
        <w:tblW w:w="5000" w:type="pct"/>
        <w:tblCellMar>
          <w:left w:w="0" w:type="dxa"/>
          <w:right w:w="0" w:type="dxa"/>
        </w:tblCellMar>
        <w:tblLook w:val="04A0" w:firstRow="1" w:lastRow="0" w:firstColumn="1" w:lastColumn="0" w:noHBand="0" w:noVBand="1"/>
      </w:tblPr>
      <w:tblGrid>
        <w:gridCol w:w="1080"/>
        <w:gridCol w:w="7226"/>
      </w:tblGrid>
      <w:tr w:rsidR="002541AD" w14:paraId="3750E39F" w14:textId="77777777">
        <w:tc>
          <w:tcPr>
            <w:tcW w:w="0" w:type="auto"/>
            <w:gridSpan w:val="2"/>
            <w:shd w:val="clear" w:color="auto" w:fill="auto"/>
            <w:vAlign w:val="center"/>
          </w:tcPr>
          <w:p w14:paraId="3750E39E" w14:textId="77777777" w:rsidR="002541AD" w:rsidRDefault="002541AD">
            <w:pPr>
              <w:rPr>
                <w:rFonts w:ascii="Times New Roman" w:hAnsi="Times New Roman"/>
                <w:sz w:val="20"/>
                <w:szCs w:val="20"/>
              </w:rPr>
            </w:pPr>
          </w:p>
        </w:tc>
      </w:tr>
      <w:tr w:rsidR="002541AD" w14:paraId="3750E3A2" w14:textId="77777777">
        <w:tc>
          <w:tcPr>
            <w:tcW w:w="650" w:type="pct"/>
            <w:shd w:val="clear" w:color="auto" w:fill="auto"/>
            <w:vAlign w:val="center"/>
          </w:tcPr>
          <w:p w14:paraId="3750E3A0" w14:textId="77777777" w:rsidR="002541AD" w:rsidRDefault="002541AD">
            <w:pPr>
              <w:rPr>
                <w:rFonts w:ascii="Times New Roman" w:hAnsi="Times New Roman"/>
                <w:sz w:val="20"/>
                <w:szCs w:val="20"/>
              </w:rPr>
            </w:pPr>
          </w:p>
        </w:tc>
        <w:tc>
          <w:tcPr>
            <w:tcW w:w="4350" w:type="pct"/>
            <w:shd w:val="clear" w:color="auto" w:fill="auto"/>
            <w:vAlign w:val="center"/>
          </w:tcPr>
          <w:p w14:paraId="3750E3A1" w14:textId="77777777" w:rsidR="002541AD" w:rsidRDefault="002541AD">
            <w:pPr>
              <w:rPr>
                <w:rFonts w:ascii="Times New Roman" w:hAnsi="Times New Roman"/>
                <w:sz w:val="20"/>
                <w:szCs w:val="20"/>
              </w:rPr>
            </w:pPr>
          </w:p>
        </w:tc>
      </w:tr>
      <w:tr w:rsidR="002541AD" w14:paraId="3750E3A5"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3750E3A3"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8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E3A4" w14:textId="77777777" w:rsidR="002541AD" w:rsidRDefault="00901AA6">
            <w:pPr>
              <w:textAlignment w:val="bottom"/>
              <w:rPr>
                <w:rFonts w:ascii="Times New Roman" w:hAnsi="Times New Roman"/>
                <w:sz w:val="28"/>
                <w:szCs w:val="28"/>
              </w:rPr>
            </w:pPr>
            <w:r>
              <w:rPr>
                <w:rFonts w:ascii="Arial" w:eastAsia="宋体" w:hAnsi="Arial" w:cs="Arial"/>
                <w:b/>
                <w:bCs/>
                <w:color w:val="0071C5"/>
                <w:sz w:val="28"/>
                <w:szCs w:val="28"/>
              </w:rPr>
              <w:t>BORROWINGS</w:t>
            </w:r>
          </w:p>
        </w:tc>
      </w:tr>
    </w:tbl>
    <w:p w14:paraId="3750E3A6" w14:textId="77777777" w:rsidR="002541AD" w:rsidRDefault="002541AD">
      <w:pPr>
        <w:spacing w:line="288" w:lineRule="auto"/>
        <w:rPr>
          <w:rFonts w:ascii="Times New Roman" w:hAnsi="Times New Roman"/>
          <w:sz w:val="28"/>
          <w:szCs w:val="28"/>
        </w:rPr>
      </w:pPr>
    </w:p>
    <w:p w14:paraId="3750E3A7"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As of March 28, 2020, our short-term debt was $3.5 billion, primarily comprised of the current portion of our long-term debt ($3.7 billion as of December 28, 2019). </w:t>
      </w:r>
    </w:p>
    <w:p w14:paraId="3750E3A8"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We have an ongoing authorization from our Board of Directors to borrow up to $10.0 billion</w:t>
      </w:r>
      <w:r>
        <w:rPr>
          <w:rFonts w:ascii="Arial" w:eastAsia="宋体" w:hAnsi="Arial" w:cs="Arial"/>
          <w:color w:val="333333"/>
          <w:sz w:val="18"/>
          <w:szCs w:val="18"/>
        </w:rPr>
        <w:t xml:space="preserve"> under our commercial paper program.</w:t>
      </w:r>
    </w:p>
    <w:p w14:paraId="3750E3A9"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E3AB" w14:textId="77777777">
        <w:tc>
          <w:tcPr>
            <w:tcW w:w="0" w:type="auto"/>
            <w:gridSpan w:val="3"/>
            <w:shd w:val="clear" w:color="auto" w:fill="auto"/>
            <w:vAlign w:val="center"/>
          </w:tcPr>
          <w:p w14:paraId="3750E3AA" w14:textId="77777777" w:rsidR="002541AD" w:rsidRDefault="002541AD">
            <w:pPr>
              <w:rPr>
                <w:rFonts w:ascii="Times New Roman" w:hAnsi="Times New Roman"/>
                <w:sz w:val="20"/>
                <w:szCs w:val="20"/>
              </w:rPr>
            </w:pPr>
          </w:p>
        </w:tc>
      </w:tr>
      <w:tr w:rsidR="002541AD" w14:paraId="3750E3AF" w14:textId="77777777">
        <w:tc>
          <w:tcPr>
            <w:tcW w:w="1550" w:type="pct"/>
            <w:shd w:val="clear" w:color="auto" w:fill="auto"/>
            <w:vAlign w:val="center"/>
          </w:tcPr>
          <w:p w14:paraId="3750E3AC" w14:textId="77777777" w:rsidR="002541AD" w:rsidRDefault="002541AD">
            <w:pPr>
              <w:rPr>
                <w:rFonts w:ascii="Times New Roman" w:hAnsi="Times New Roman"/>
                <w:sz w:val="20"/>
                <w:szCs w:val="20"/>
              </w:rPr>
            </w:pPr>
          </w:p>
        </w:tc>
        <w:tc>
          <w:tcPr>
            <w:tcW w:w="2200" w:type="pct"/>
            <w:shd w:val="clear" w:color="auto" w:fill="auto"/>
            <w:vAlign w:val="center"/>
          </w:tcPr>
          <w:p w14:paraId="3750E3AD" w14:textId="77777777" w:rsidR="002541AD" w:rsidRDefault="002541AD">
            <w:pPr>
              <w:rPr>
                <w:rFonts w:ascii="Times New Roman" w:hAnsi="Times New Roman"/>
                <w:sz w:val="20"/>
                <w:szCs w:val="20"/>
              </w:rPr>
            </w:pPr>
          </w:p>
        </w:tc>
        <w:tc>
          <w:tcPr>
            <w:tcW w:w="1250" w:type="pct"/>
            <w:shd w:val="clear" w:color="auto" w:fill="auto"/>
            <w:vAlign w:val="center"/>
          </w:tcPr>
          <w:p w14:paraId="3750E3AE" w14:textId="77777777" w:rsidR="002541AD" w:rsidRDefault="002541AD">
            <w:pPr>
              <w:rPr>
                <w:rFonts w:ascii="Times New Roman" w:hAnsi="Times New Roman"/>
                <w:sz w:val="20"/>
                <w:szCs w:val="20"/>
              </w:rPr>
            </w:pPr>
          </w:p>
        </w:tc>
      </w:tr>
      <w:tr w:rsidR="002541AD" w14:paraId="3750E3B3" w14:textId="77777777">
        <w:tc>
          <w:tcPr>
            <w:tcW w:w="0" w:type="auto"/>
            <w:tcBorders>
              <w:top w:val="single" w:sz="8" w:space="0" w:color="0071C5"/>
              <w:right w:val="single" w:sz="24" w:space="0" w:color="0071C5"/>
            </w:tcBorders>
            <w:shd w:val="clear" w:color="auto" w:fill="auto"/>
            <w:tcMar>
              <w:top w:w="40" w:type="dxa"/>
              <w:left w:w="40" w:type="dxa"/>
              <w:bottom w:w="40" w:type="dxa"/>
              <w:right w:w="40" w:type="dxa"/>
            </w:tcMar>
            <w:vAlign w:val="center"/>
          </w:tcPr>
          <w:p w14:paraId="3750E3B0"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6E" wp14:editId="3750F86F">
                  <wp:extent cx="304800" cy="304800"/>
                  <wp:effectExtent l="0" t="0" r="0" b="0"/>
                  <wp:docPr id="6" name="图片 71"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1"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3B1"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3B2"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16</w:t>
            </w:r>
          </w:p>
        </w:tc>
      </w:tr>
    </w:tbl>
    <w:p w14:paraId="3750E3B4" w14:textId="77777777" w:rsidR="002541AD" w:rsidRDefault="002541AD">
      <w:pPr>
        <w:spacing w:line="288" w:lineRule="auto"/>
        <w:rPr>
          <w:rFonts w:ascii="Times New Roman" w:hAnsi="Times New Roman"/>
          <w:sz w:val="18"/>
          <w:szCs w:val="18"/>
        </w:rPr>
      </w:pPr>
    </w:p>
    <w:p w14:paraId="3750E3B5" w14:textId="77777777" w:rsidR="002541AD" w:rsidRDefault="002541AD">
      <w:pPr>
        <w:spacing w:line="288" w:lineRule="auto"/>
        <w:rPr>
          <w:rFonts w:ascii="Times New Roman" w:hAnsi="Times New Roman"/>
          <w:sz w:val="18"/>
          <w:szCs w:val="18"/>
        </w:rPr>
      </w:pPr>
    </w:p>
    <w:p w14:paraId="3750E3B6" w14:textId="77777777" w:rsidR="002541AD" w:rsidRDefault="00901AA6">
      <w:r>
        <w:rPr>
          <w:rFonts w:ascii="Times New Roman" w:hAnsi="Times New Roman"/>
          <w:sz w:val="18"/>
          <w:szCs w:val="18"/>
        </w:rPr>
        <w:pict w14:anchorId="3750F870">
          <v:rect id="_x0000_i1042" style="width:415.3pt;height:1.5pt" o:hralign="center" o:hrstd="t" o:hr="t" fillcolor="#a0a0a0" stroked="f"/>
        </w:pict>
      </w:r>
    </w:p>
    <w:p w14:paraId="3750E3B7" w14:textId="77777777" w:rsidR="002541AD" w:rsidRDefault="00901AA6">
      <w:pPr>
        <w:spacing w:line="288" w:lineRule="auto"/>
        <w:jc w:val="right"/>
        <w:rPr>
          <w:rFonts w:ascii="Times New Roman" w:hAnsi="Times New Roman"/>
          <w:sz w:val="16"/>
          <w:szCs w:val="16"/>
        </w:rPr>
      </w:pPr>
      <w:hyperlink r:id="rId45" w:anchor="s2CABEAF4222C52B4A34547BF538A8C27" w:history="1">
        <w:r>
          <w:rPr>
            <w:rStyle w:val="a5"/>
            <w:rFonts w:ascii="Arial" w:eastAsia="宋体" w:hAnsi="Arial" w:cs="Arial"/>
            <w:b/>
            <w:bCs/>
            <w:sz w:val="16"/>
            <w:szCs w:val="16"/>
          </w:rPr>
          <w:t>Table of Contents</w:t>
        </w:r>
      </w:hyperlink>
    </w:p>
    <w:p w14:paraId="3750E3B8" w14:textId="77777777" w:rsidR="002541AD" w:rsidRDefault="002541AD">
      <w:pPr>
        <w:spacing w:line="288" w:lineRule="auto"/>
        <w:jc w:val="right"/>
        <w:rPr>
          <w:rFonts w:ascii="Times New Roman" w:hAnsi="Times New Roman"/>
          <w:sz w:val="18"/>
          <w:szCs w:val="18"/>
        </w:rPr>
      </w:pPr>
    </w:p>
    <w:p w14:paraId="3750E3B9" w14:textId="77777777" w:rsidR="002541AD" w:rsidRDefault="002541AD">
      <w:pPr>
        <w:rPr>
          <w:rFonts w:ascii="Times New Roman" w:hAnsi="Times New Roman"/>
          <w:sz w:val="20"/>
          <w:szCs w:val="20"/>
        </w:rPr>
      </w:pPr>
    </w:p>
    <w:p w14:paraId="3750E3BA" w14:textId="77777777" w:rsidR="002541AD" w:rsidRDefault="00901AA6">
      <w:pPr>
        <w:spacing w:line="288" w:lineRule="auto"/>
        <w:rPr>
          <w:rFonts w:ascii="Times New Roman" w:hAnsi="Times New Roman"/>
        </w:rPr>
      </w:pPr>
      <w:r>
        <w:rPr>
          <w:rFonts w:ascii="Arial" w:eastAsia="宋体" w:hAnsi="Arial" w:cs="Arial"/>
          <w:b/>
          <w:bCs/>
          <w:color w:val="0071C5"/>
        </w:rPr>
        <w:t>LONG-TERM DEBT</w:t>
      </w:r>
    </w:p>
    <w:tbl>
      <w:tblPr>
        <w:tblW w:w="5000" w:type="pct"/>
        <w:tblCellMar>
          <w:left w:w="0" w:type="dxa"/>
          <w:right w:w="0" w:type="dxa"/>
        </w:tblCellMar>
        <w:tblLook w:val="04A0" w:firstRow="1" w:lastRow="0" w:firstColumn="1" w:lastColumn="0" w:noHBand="0" w:noVBand="1"/>
      </w:tblPr>
      <w:tblGrid>
        <w:gridCol w:w="4465"/>
        <w:gridCol w:w="130"/>
        <w:gridCol w:w="978"/>
        <w:gridCol w:w="201"/>
        <w:gridCol w:w="130"/>
        <w:gridCol w:w="141"/>
        <w:gridCol w:w="895"/>
        <w:gridCol w:w="100"/>
        <w:gridCol w:w="130"/>
        <w:gridCol w:w="141"/>
        <w:gridCol w:w="895"/>
        <w:gridCol w:w="100"/>
      </w:tblGrid>
      <w:tr w:rsidR="002541AD" w14:paraId="3750E3BC" w14:textId="77777777">
        <w:tc>
          <w:tcPr>
            <w:tcW w:w="0" w:type="auto"/>
            <w:gridSpan w:val="12"/>
            <w:shd w:val="clear" w:color="auto" w:fill="auto"/>
            <w:vAlign w:val="center"/>
          </w:tcPr>
          <w:p w14:paraId="3750E3BB" w14:textId="77777777" w:rsidR="002541AD" w:rsidRDefault="002541AD">
            <w:pPr>
              <w:rPr>
                <w:rFonts w:ascii="Times New Roman" w:hAnsi="Times New Roman"/>
                <w:sz w:val="20"/>
                <w:szCs w:val="20"/>
              </w:rPr>
            </w:pPr>
          </w:p>
        </w:tc>
      </w:tr>
      <w:tr w:rsidR="002541AD" w14:paraId="3750E3C9" w14:textId="77777777">
        <w:tc>
          <w:tcPr>
            <w:tcW w:w="2750" w:type="pct"/>
            <w:shd w:val="clear" w:color="auto" w:fill="auto"/>
            <w:vAlign w:val="center"/>
          </w:tcPr>
          <w:p w14:paraId="3750E3BD" w14:textId="77777777" w:rsidR="002541AD" w:rsidRDefault="002541AD">
            <w:pPr>
              <w:rPr>
                <w:rFonts w:ascii="Times New Roman" w:hAnsi="Times New Roman"/>
                <w:sz w:val="20"/>
                <w:szCs w:val="20"/>
              </w:rPr>
            </w:pPr>
          </w:p>
        </w:tc>
        <w:tc>
          <w:tcPr>
            <w:tcW w:w="50" w:type="pct"/>
            <w:shd w:val="clear" w:color="auto" w:fill="auto"/>
            <w:vAlign w:val="center"/>
          </w:tcPr>
          <w:p w14:paraId="3750E3BE" w14:textId="77777777" w:rsidR="002541AD" w:rsidRDefault="002541AD">
            <w:pPr>
              <w:rPr>
                <w:rFonts w:ascii="Times New Roman" w:hAnsi="Times New Roman"/>
                <w:sz w:val="20"/>
                <w:szCs w:val="20"/>
              </w:rPr>
            </w:pPr>
          </w:p>
        </w:tc>
        <w:tc>
          <w:tcPr>
            <w:tcW w:w="650" w:type="pct"/>
            <w:shd w:val="clear" w:color="auto" w:fill="auto"/>
            <w:vAlign w:val="center"/>
          </w:tcPr>
          <w:p w14:paraId="3750E3BF" w14:textId="77777777" w:rsidR="002541AD" w:rsidRDefault="002541AD">
            <w:pPr>
              <w:rPr>
                <w:rFonts w:ascii="Times New Roman" w:hAnsi="Times New Roman"/>
                <w:sz w:val="20"/>
                <w:szCs w:val="20"/>
              </w:rPr>
            </w:pPr>
          </w:p>
        </w:tc>
        <w:tc>
          <w:tcPr>
            <w:tcW w:w="50" w:type="pct"/>
            <w:shd w:val="clear" w:color="auto" w:fill="auto"/>
            <w:vAlign w:val="center"/>
          </w:tcPr>
          <w:p w14:paraId="3750E3C0" w14:textId="77777777" w:rsidR="002541AD" w:rsidRDefault="002541AD">
            <w:pPr>
              <w:rPr>
                <w:rFonts w:ascii="Times New Roman" w:hAnsi="Times New Roman"/>
                <w:sz w:val="20"/>
                <w:szCs w:val="20"/>
              </w:rPr>
            </w:pPr>
          </w:p>
        </w:tc>
        <w:tc>
          <w:tcPr>
            <w:tcW w:w="50" w:type="pct"/>
            <w:shd w:val="clear" w:color="auto" w:fill="auto"/>
            <w:vAlign w:val="center"/>
          </w:tcPr>
          <w:p w14:paraId="3750E3C1" w14:textId="77777777" w:rsidR="002541AD" w:rsidRDefault="002541AD">
            <w:pPr>
              <w:rPr>
                <w:rFonts w:ascii="Times New Roman" w:hAnsi="Times New Roman"/>
                <w:sz w:val="20"/>
                <w:szCs w:val="20"/>
              </w:rPr>
            </w:pPr>
          </w:p>
        </w:tc>
        <w:tc>
          <w:tcPr>
            <w:tcW w:w="50" w:type="pct"/>
            <w:shd w:val="clear" w:color="auto" w:fill="auto"/>
            <w:vAlign w:val="center"/>
          </w:tcPr>
          <w:p w14:paraId="3750E3C2" w14:textId="77777777" w:rsidR="002541AD" w:rsidRDefault="002541AD">
            <w:pPr>
              <w:rPr>
                <w:rFonts w:ascii="Times New Roman" w:hAnsi="Times New Roman"/>
                <w:sz w:val="20"/>
                <w:szCs w:val="20"/>
              </w:rPr>
            </w:pPr>
          </w:p>
        </w:tc>
        <w:tc>
          <w:tcPr>
            <w:tcW w:w="600" w:type="pct"/>
            <w:shd w:val="clear" w:color="auto" w:fill="auto"/>
            <w:vAlign w:val="center"/>
          </w:tcPr>
          <w:p w14:paraId="3750E3C3" w14:textId="77777777" w:rsidR="002541AD" w:rsidRDefault="002541AD">
            <w:pPr>
              <w:rPr>
                <w:rFonts w:ascii="Times New Roman" w:hAnsi="Times New Roman"/>
                <w:sz w:val="20"/>
                <w:szCs w:val="20"/>
              </w:rPr>
            </w:pPr>
          </w:p>
        </w:tc>
        <w:tc>
          <w:tcPr>
            <w:tcW w:w="50" w:type="pct"/>
            <w:shd w:val="clear" w:color="auto" w:fill="auto"/>
            <w:vAlign w:val="center"/>
          </w:tcPr>
          <w:p w14:paraId="3750E3C4" w14:textId="77777777" w:rsidR="002541AD" w:rsidRDefault="002541AD">
            <w:pPr>
              <w:rPr>
                <w:rFonts w:ascii="Times New Roman" w:hAnsi="Times New Roman"/>
                <w:sz w:val="20"/>
                <w:szCs w:val="20"/>
              </w:rPr>
            </w:pPr>
          </w:p>
        </w:tc>
        <w:tc>
          <w:tcPr>
            <w:tcW w:w="50" w:type="pct"/>
            <w:shd w:val="clear" w:color="auto" w:fill="auto"/>
            <w:vAlign w:val="center"/>
          </w:tcPr>
          <w:p w14:paraId="3750E3C5" w14:textId="77777777" w:rsidR="002541AD" w:rsidRDefault="002541AD">
            <w:pPr>
              <w:rPr>
                <w:rFonts w:ascii="Times New Roman" w:hAnsi="Times New Roman"/>
                <w:sz w:val="20"/>
                <w:szCs w:val="20"/>
              </w:rPr>
            </w:pPr>
          </w:p>
        </w:tc>
        <w:tc>
          <w:tcPr>
            <w:tcW w:w="50" w:type="pct"/>
            <w:shd w:val="clear" w:color="auto" w:fill="auto"/>
            <w:vAlign w:val="center"/>
          </w:tcPr>
          <w:p w14:paraId="3750E3C6" w14:textId="77777777" w:rsidR="002541AD" w:rsidRDefault="002541AD">
            <w:pPr>
              <w:rPr>
                <w:rFonts w:ascii="Times New Roman" w:hAnsi="Times New Roman"/>
                <w:sz w:val="20"/>
                <w:szCs w:val="20"/>
              </w:rPr>
            </w:pPr>
          </w:p>
        </w:tc>
        <w:tc>
          <w:tcPr>
            <w:tcW w:w="600" w:type="pct"/>
            <w:shd w:val="clear" w:color="auto" w:fill="auto"/>
            <w:vAlign w:val="center"/>
          </w:tcPr>
          <w:p w14:paraId="3750E3C7" w14:textId="77777777" w:rsidR="002541AD" w:rsidRDefault="002541AD">
            <w:pPr>
              <w:rPr>
                <w:rFonts w:ascii="Times New Roman" w:hAnsi="Times New Roman"/>
                <w:sz w:val="20"/>
                <w:szCs w:val="20"/>
              </w:rPr>
            </w:pPr>
          </w:p>
        </w:tc>
        <w:tc>
          <w:tcPr>
            <w:tcW w:w="50" w:type="pct"/>
            <w:shd w:val="clear" w:color="auto" w:fill="auto"/>
            <w:vAlign w:val="center"/>
          </w:tcPr>
          <w:p w14:paraId="3750E3C8" w14:textId="77777777" w:rsidR="002541AD" w:rsidRDefault="002541AD">
            <w:pPr>
              <w:rPr>
                <w:rFonts w:ascii="Times New Roman" w:hAnsi="Times New Roman"/>
                <w:sz w:val="20"/>
                <w:szCs w:val="20"/>
              </w:rPr>
            </w:pPr>
          </w:p>
        </w:tc>
      </w:tr>
      <w:tr w:rsidR="002541AD" w14:paraId="3750E3CF"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3C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3C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71C5"/>
            </w:tcBorders>
            <w:shd w:val="clear" w:color="auto" w:fill="auto"/>
            <w:tcMar>
              <w:top w:w="40" w:type="dxa"/>
              <w:left w:w="40" w:type="dxa"/>
              <w:bottom w:w="40" w:type="dxa"/>
            </w:tcMar>
            <w:vAlign w:val="bottom"/>
          </w:tcPr>
          <w:p w14:paraId="3750E3CC"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c>
          <w:tcPr>
            <w:tcW w:w="0" w:type="auto"/>
            <w:shd w:val="clear" w:color="auto" w:fill="auto"/>
            <w:tcMar>
              <w:top w:w="40" w:type="dxa"/>
              <w:left w:w="40" w:type="dxa"/>
              <w:bottom w:w="40" w:type="dxa"/>
              <w:right w:w="40" w:type="dxa"/>
            </w:tcMar>
            <w:vAlign w:val="bottom"/>
          </w:tcPr>
          <w:p w14:paraId="3750E3C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3CE"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r>
      <w:tr w:rsidR="002541AD" w14:paraId="3750E3D7"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3D0"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 xml:space="preserve">(In </w:t>
            </w:r>
            <w:r>
              <w:rPr>
                <w:rFonts w:ascii="Arial" w:eastAsia="宋体" w:hAnsi="Arial" w:cs="Arial"/>
                <w:b/>
                <w:bCs/>
                <w:color w:val="333333"/>
                <w:sz w:val="18"/>
                <w:szCs w:val="18"/>
              </w:rPr>
              <w:t>Millions)</w:t>
            </w:r>
          </w:p>
        </w:tc>
        <w:tc>
          <w:tcPr>
            <w:tcW w:w="0" w:type="auto"/>
            <w:shd w:val="clear" w:color="auto" w:fill="auto"/>
            <w:tcMar>
              <w:top w:w="40" w:type="dxa"/>
              <w:left w:w="40" w:type="dxa"/>
              <w:bottom w:w="40" w:type="dxa"/>
              <w:right w:w="40" w:type="dxa"/>
            </w:tcMar>
            <w:vAlign w:val="bottom"/>
          </w:tcPr>
          <w:p w14:paraId="3750E3D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3750E3D2"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Effective Interest Rate</w:t>
            </w:r>
          </w:p>
        </w:tc>
        <w:tc>
          <w:tcPr>
            <w:tcW w:w="0" w:type="auto"/>
            <w:shd w:val="clear" w:color="auto" w:fill="auto"/>
            <w:tcMar>
              <w:top w:w="40" w:type="dxa"/>
              <w:left w:w="40" w:type="dxa"/>
              <w:bottom w:w="40" w:type="dxa"/>
              <w:right w:w="40" w:type="dxa"/>
            </w:tcMar>
            <w:vAlign w:val="bottom"/>
          </w:tcPr>
          <w:p w14:paraId="3750E3D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3D4"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Amount</w:t>
            </w:r>
          </w:p>
        </w:tc>
        <w:tc>
          <w:tcPr>
            <w:tcW w:w="0" w:type="auto"/>
            <w:shd w:val="clear" w:color="auto" w:fill="auto"/>
            <w:tcMar>
              <w:top w:w="40" w:type="dxa"/>
              <w:left w:w="40" w:type="dxa"/>
              <w:bottom w:w="40" w:type="dxa"/>
              <w:right w:w="40" w:type="dxa"/>
            </w:tcMar>
            <w:vAlign w:val="bottom"/>
          </w:tcPr>
          <w:p w14:paraId="3750E3D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3D6"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Amount</w:t>
            </w:r>
          </w:p>
        </w:tc>
      </w:tr>
      <w:tr w:rsidR="002541AD" w14:paraId="3750E3DF" w14:textId="77777777">
        <w:tc>
          <w:tcPr>
            <w:tcW w:w="0" w:type="auto"/>
            <w:shd w:val="clear" w:color="auto" w:fill="auto"/>
            <w:tcMar>
              <w:top w:w="40" w:type="dxa"/>
              <w:left w:w="40" w:type="dxa"/>
              <w:bottom w:w="40" w:type="dxa"/>
              <w:right w:w="40" w:type="dxa"/>
            </w:tcMar>
          </w:tcPr>
          <w:p w14:paraId="3750E3D8"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Floating-rate senior notes:</w:t>
            </w:r>
          </w:p>
        </w:tc>
        <w:tc>
          <w:tcPr>
            <w:tcW w:w="0" w:type="auto"/>
            <w:shd w:val="clear" w:color="auto" w:fill="auto"/>
            <w:tcMar>
              <w:top w:w="40" w:type="dxa"/>
              <w:left w:w="40" w:type="dxa"/>
              <w:bottom w:w="40" w:type="dxa"/>
              <w:right w:w="40" w:type="dxa"/>
            </w:tcMar>
            <w:vAlign w:val="bottom"/>
          </w:tcPr>
          <w:p w14:paraId="3750E3D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E3D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3D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3D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3D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3D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3EC" w14:textId="77777777">
        <w:tc>
          <w:tcPr>
            <w:tcW w:w="0" w:type="auto"/>
            <w:shd w:val="clear" w:color="auto" w:fill="auto"/>
            <w:tcMar>
              <w:top w:w="40" w:type="dxa"/>
              <w:left w:w="240" w:type="dxa"/>
              <w:bottom w:w="40" w:type="dxa"/>
              <w:right w:w="40" w:type="dxa"/>
            </w:tcMar>
          </w:tcPr>
          <w:p w14:paraId="3750E3E0"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Three-month LIBOR plus 0.08%, due May 2020</w:t>
            </w:r>
          </w:p>
        </w:tc>
        <w:tc>
          <w:tcPr>
            <w:tcW w:w="0" w:type="auto"/>
            <w:shd w:val="clear" w:color="auto" w:fill="auto"/>
            <w:tcMar>
              <w:top w:w="40" w:type="dxa"/>
              <w:left w:w="40" w:type="dxa"/>
              <w:bottom w:w="40" w:type="dxa"/>
              <w:right w:w="40" w:type="dxa"/>
            </w:tcMar>
            <w:vAlign w:val="bottom"/>
          </w:tcPr>
          <w:p w14:paraId="3750E3E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3E2"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1.93</w:t>
            </w:r>
          </w:p>
        </w:tc>
        <w:tc>
          <w:tcPr>
            <w:tcW w:w="0" w:type="auto"/>
            <w:shd w:val="clear" w:color="auto" w:fill="auto"/>
            <w:tcMar>
              <w:top w:w="40" w:type="dxa"/>
              <w:bottom w:w="40" w:type="dxa"/>
              <w:right w:w="40" w:type="dxa"/>
            </w:tcMar>
            <w:vAlign w:val="bottom"/>
          </w:tcPr>
          <w:p w14:paraId="3750E3E3"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3E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3E5"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3E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700</w:t>
            </w:r>
          </w:p>
        </w:tc>
        <w:tc>
          <w:tcPr>
            <w:tcW w:w="0" w:type="auto"/>
            <w:shd w:val="clear" w:color="auto" w:fill="auto"/>
            <w:vAlign w:val="bottom"/>
          </w:tcPr>
          <w:p w14:paraId="3750E3E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3E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3E9"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3EA"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700</w:t>
            </w:r>
          </w:p>
        </w:tc>
        <w:tc>
          <w:tcPr>
            <w:tcW w:w="0" w:type="auto"/>
            <w:shd w:val="clear" w:color="auto" w:fill="auto"/>
            <w:vAlign w:val="bottom"/>
          </w:tcPr>
          <w:p w14:paraId="3750E3EB" w14:textId="77777777" w:rsidR="002541AD" w:rsidRDefault="002541AD">
            <w:pPr>
              <w:textAlignment w:val="bottom"/>
              <w:rPr>
                <w:rFonts w:ascii="Times New Roman" w:hAnsi="Times New Roman"/>
                <w:sz w:val="20"/>
                <w:szCs w:val="20"/>
              </w:rPr>
            </w:pPr>
          </w:p>
        </w:tc>
      </w:tr>
      <w:tr w:rsidR="002541AD" w14:paraId="3750E3F7" w14:textId="77777777">
        <w:tc>
          <w:tcPr>
            <w:tcW w:w="0" w:type="auto"/>
            <w:shd w:val="clear" w:color="auto" w:fill="auto"/>
            <w:tcMar>
              <w:top w:w="40" w:type="dxa"/>
              <w:left w:w="240" w:type="dxa"/>
              <w:bottom w:w="40" w:type="dxa"/>
              <w:right w:w="40" w:type="dxa"/>
            </w:tcMar>
          </w:tcPr>
          <w:p w14:paraId="3750E3ED"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Three-month LIBOR plus 0.35%, due May 2022</w:t>
            </w:r>
          </w:p>
        </w:tc>
        <w:tc>
          <w:tcPr>
            <w:tcW w:w="0" w:type="auto"/>
            <w:shd w:val="clear" w:color="auto" w:fill="auto"/>
            <w:tcMar>
              <w:top w:w="40" w:type="dxa"/>
              <w:left w:w="40" w:type="dxa"/>
              <w:bottom w:w="40" w:type="dxa"/>
              <w:right w:w="40" w:type="dxa"/>
            </w:tcMar>
            <w:vAlign w:val="bottom"/>
          </w:tcPr>
          <w:p w14:paraId="3750E3E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3EF"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2.19</w:t>
            </w:r>
          </w:p>
        </w:tc>
        <w:tc>
          <w:tcPr>
            <w:tcW w:w="0" w:type="auto"/>
            <w:shd w:val="clear" w:color="auto" w:fill="auto"/>
            <w:tcMar>
              <w:top w:w="40" w:type="dxa"/>
              <w:bottom w:w="40" w:type="dxa"/>
              <w:right w:w="40" w:type="dxa"/>
            </w:tcMar>
            <w:vAlign w:val="bottom"/>
          </w:tcPr>
          <w:p w14:paraId="3750E3F0"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3F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3F2"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800</w:t>
            </w:r>
          </w:p>
        </w:tc>
        <w:tc>
          <w:tcPr>
            <w:tcW w:w="0" w:type="auto"/>
            <w:shd w:val="clear" w:color="auto" w:fill="auto"/>
            <w:vAlign w:val="bottom"/>
          </w:tcPr>
          <w:p w14:paraId="3750E3F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3F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3F5"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800</w:t>
            </w:r>
          </w:p>
        </w:tc>
        <w:tc>
          <w:tcPr>
            <w:tcW w:w="0" w:type="auto"/>
            <w:shd w:val="clear" w:color="auto" w:fill="auto"/>
            <w:vAlign w:val="bottom"/>
          </w:tcPr>
          <w:p w14:paraId="3750E3F6" w14:textId="77777777" w:rsidR="002541AD" w:rsidRDefault="002541AD">
            <w:pPr>
              <w:textAlignment w:val="bottom"/>
              <w:rPr>
                <w:rFonts w:ascii="Times New Roman" w:hAnsi="Times New Roman"/>
                <w:sz w:val="20"/>
                <w:szCs w:val="20"/>
              </w:rPr>
            </w:pPr>
          </w:p>
        </w:tc>
      </w:tr>
      <w:tr w:rsidR="002541AD" w14:paraId="3750E3FF" w14:textId="77777777">
        <w:tc>
          <w:tcPr>
            <w:tcW w:w="0" w:type="auto"/>
            <w:shd w:val="clear" w:color="auto" w:fill="auto"/>
            <w:tcMar>
              <w:top w:w="40" w:type="dxa"/>
              <w:left w:w="40" w:type="dxa"/>
              <w:bottom w:w="40" w:type="dxa"/>
              <w:right w:w="40" w:type="dxa"/>
            </w:tcMar>
          </w:tcPr>
          <w:p w14:paraId="3750E3F8"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 xml:space="preserve">Fixed-rate </w:t>
            </w:r>
            <w:r>
              <w:rPr>
                <w:rFonts w:ascii="Arial" w:eastAsia="宋体" w:hAnsi="Arial" w:cs="Arial"/>
                <w:color w:val="333333"/>
                <w:sz w:val="18"/>
                <w:szCs w:val="18"/>
              </w:rPr>
              <w:t>senior notes:</w:t>
            </w:r>
          </w:p>
        </w:tc>
        <w:tc>
          <w:tcPr>
            <w:tcW w:w="0" w:type="auto"/>
            <w:shd w:val="clear" w:color="auto" w:fill="auto"/>
            <w:tcMar>
              <w:top w:w="40" w:type="dxa"/>
              <w:left w:w="40" w:type="dxa"/>
              <w:bottom w:w="40" w:type="dxa"/>
              <w:right w:w="40" w:type="dxa"/>
            </w:tcMar>
            <w:vAlign w:val="bottom"/>
          </w:tcPr>
          <w:p w14:paraId="3750E3F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E3F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3F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3F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3F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3F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40A" w14:textId="77777777">
        <w:tc>
          <w:tcPr>
            <w:tcW w:w="0" w:type="auto"/>
            <w:shd w:val="clear" w:color="auto" w:fill="auto"/>
            <w:tcMar>
              <w:top w:w="40" w:type="dxa"/>
              <w:left w:w="240" w:type="dxa"/>
              <w:bottom w:w="40" w:type="dxa"/>
              <w:right w:w="40" w:type="dxa"/>
            </w:tcMar>
          </w:tcPr>
          <w:p w14:paraId="3750E400"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1.85%, due May 2020</w:t>
            </w:r>
          </w:p>
        </w:tc>
        <w:tc>
          <w:tcPr>
            <w:tcW w:w="0" w:type="auto"/>
            <w:shd w:val="clear" w:color="auto" w:fill="auto"/>
            <w:tcMar>
              <w:top w:w="40" w:type="dxa"/>
              <w:left w:w="40" w:type="dxa"/>
              <w:bottom w:w="40" w:type="dxa"/>
              <w:right w:w="40" w:type="dxa"/>
            </w:tcMar>
            <w:vAlign w:val="bottom"/>
          </w:tcPr>
          <w:p w14:paraId="3750E40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02"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1.88</w:t>
            </w:r>
          </w:p>
        </w:tc>
        <w:tc>
          <w:tcPr>
            <w:tcW w:w="0" w:type="auto"/>
            <w:shd w:val="clear" w:color="auto" w:fill="auto"/>
            <w:tcMar>
              <w:top w:w="40" w:type="dxa"/>
              <w:bottom w:w="40" w:type="dxa"/>
              <w:right w:w="40" w:type="dxa"/>
            </w:tcMar>
            <w:vAlign w:val="bottom"/>
          </w:tcPr>
          <w:p w14:paraId="3750E403"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0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05"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1,000</w:t>
            </w:r>
          </w:p>
        </w:tc>
        <w:tc>
          <w:tcPr>
            <w:tcW w:w="0" w:type="auto"/>
            <w:shd w:val="clear" w:color="auto" w:fill="auto"/>
            <w:vAlign w:val="bottom"/>
          </w:tcPr>
          <w:p w14:paraId="3750E40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0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0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1,000</w:t>
            </w:r>
          </w:p>
        </w:tc>
        <w:tc>
          <w:tcPr>
            <w:tcW w:w="0" w:type="auto"/>
            <w:shd w:val="clear" w:color="auto" w:fill="auto"/>
            <w:vAlign w:val="bottom"/>
          </w:tcPr>
          <w:p w14:paraId="3750E409" w14:textId="77777777" w:rsidR="002541AD" w:rsidRDefault="002541AD">
            <w:pPr>
              <w:textAlignment w:val="bottom"/>
              <w:rPr>
                <w:rFonts w:ascii="Times New Roman" w:hAnsi="Times New Roman"/>
                <w:sz w:val="20"/>
                <w:szCs w:val="20"/>
              </w:rPr>
            </w:pPr>
          </w:p>
        </w:tc>
      </w:tr>
      <w:tr w:rsidR="002541AD" w14:paraId="3750E415" w14:textId="77777777">
        <w:tc>
          <w:tcPr>
            <w:tcW w:w="0" w:type="auto"/>
            <w:shd w:val="clear" w:color="auto" w:fill="auto"/>
            <w:tcMar>
              <w:top w:w="40" w:type="dxa"/>
              <w:left w:w="240" w:type="dxa"/>
              <w:bottom w:w="40" w:type="dxa"/>
              <w:right w:w="40" w:type="dxa"/>
            </w:tcMar>
          </w:tcPr>
          <w:p w14:paraId="3750E40B"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2.45%, due July 2020</w:t>
            </w:r>
          </w:p>
        </w:tc>
        <w:tc>
          <w:tcPr>
            <w:tcW w:w="0" w:type="auto"/>
            <w:shd w:val="clear" w:color="auto" w:fill="auto"/>
            <w:tcMar>
              <w:top w:w="40" w:type="dxa"/>
              <w:left w:w="40" w:type="dxa"/>
              <w:bottom w:w="40" w:type="dxa"/>
              <w:right w:w="40" w:type="dxa"/>
            </w:tcMar>
            <w:vAlign w:val="bottom"/>
          </w:tcPr>
          <w:p w14:paraId="3750E40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0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2.47</w:t>
            </w:r>
          </w:p>
        </w:tc>
        <w:tc>
          <w:tcPr>
            <w:tcW w:w="0" w:type="auto"/>
            <w:shd w:val="clear" w:color="auto" w:fill="auto"/>
            <w:tcMar>
              <w:top w:w="40" w:type="dxa"/>
              <w:bottom w:w="40" w:type="dxa"/>
              <w:right w:w="40" w:type="dxa"/>
            </w:tcMar>
            <w:vAlign w:val="bottom"/>
          </w:tcPr>
          <w:p w14:paraId="3750E40E"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0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1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1,750</w:t>
            </w:r>
          </w:p>
        </w:tc>
        <w:tc>
          <w:tcPr>
            <w:tcW w:w="0" w:type="auto"/>
            <w:shd w:val="clear" w:color="auto" w:fill="auto"/>
            <w:vAlign w:val="bottom"/>
          </w:tcPr>
          <w:p w14:paraId="3750E41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1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13"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1,750</w:t>
            </w:r>
          </w:p>
        </w:tc>
        <w:tc>
          <w:tcPr>
            <w:tcW w:w="0" w:type="auto"/>
            <w:shd w:val="clear" w:color="auto" w:fill="auto"/>
            <w:vAlign w:val="bottom"/>
          </w:tcPr>
          <w:p w14:paraId="3750E414" w14:textId="77777777" w:rsidR="002541AD" w:rsidRDefault="002541AD">
            <w:pPr>
              <w:textAlignment w:val="bottom"/>
              <w:rPr>
                <w:rFonts w:ascii="Times New Roman" w:hAnsi="Times New Roman"/>
                <w:sz w:val="20"/>
                <w:szCs w:val="20"/>
              </w:rPr>
            </w:pPr>
          </w:p>
        </w:tc>
      </w:tr>
      <w:tr w:rsidR="002541AD" w14:paraId="3750E420" w14:textId="77777777">
        <w:tc>
          <w:tcPr>
            <w:tcW w:w="0" w:type="auto"/>
            <w:shd w:val="clear" w:color="auto" w:fill="auto"/>
            <w:tcMar>
              <w:top w:w="40" w:type="dxa"/>
              <w:left w:w="240" w:type="dxa"/>
              <w:bottom w:w="40" w:type="dxa"/>
              <w:right w:w="40" w:type="dxa"/>
            </w:tcMar>
          </w:tcPr>
          <w:p w14:paraId="3750E416"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1.70%, due May 2021</w:t>
            </w:r>
          </w:p>
        </w:tc>
        <w:tc>
          <w:tcPr>
            <w:tcW w:w="0" w:type="auto"/>
            <w:shd w:val="clear" w:color="auto" w:fill="auto"/>
            <w:tcMar>
              <w:top w:w="40" w:type="dxa"/>
              <w:left w:w="40" w:type="dxa"/>
              <w:bottom w:w="40" w:type="dxa"/>
              <w:right w:w="40" w:type="dxa"/>
            </w:tcMar>
            <w:vAlign w:val="bottom"/>
          </w:tcPr>
          <w:p w14:paraId="3750E41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18"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1.77</w:t>
            </w:r>
          </w:p>
        </w:tc>
        <w:tc>
          <w:tcPr>
            <w:tcW w:w="0" w:type="auto"/>
            <w:shd w:val="clear" w:color="auto" w:fill="auto"/>
            <w:tcMar>
              <w:top w:w="40" w:type="dxa"/>
              <w:bottom w:w="40" w:type="dxa"/>
              <w:right w:w="40" w:type="dxa"/>
            </w:tcMar>
            <w:vAlign w:val="bottom"/>
          </w:tcPr>
          <w:p w14:paraId="3750E419"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1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1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500</w:t>
            </w:r>
          </w:p>
        </w:tc>
        <w:tc>
          <w:tcPr>
            <w:tcW w:w="0" w:type="auto"/>
            <w:shd w:val="clear" w:color="auto" w:fill="auto"/>
            <w:vAlign w:val="bottom"/>
          </w:tcPr>
          <w:p w14:paraId="3750E41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1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1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500</w:t>
            </w:r>
          </w:p>
        </w:tc>
        <w:tc>
          <w:tcPr>
            <w:tcW w:w="0" w:type="auto"/>
            <w:shd w:val="clear" w:color="auto" w:fill="auto"/>
            <w:vAlign w:val="bottom"/>
          </w:tcPr>
          <w:p w14:paraId="3750E41F" w14:textId="77777777" w:rsidR="002541AD" w:rsidRDefault="002541AD">
            <w:pPr>
              <w:textAlignment w:val="bottom"/>
              <w:rPr>
                <w:rFonts w:ascii="Times New Roman" w:hAnsi="Times New Roman"/>
                <w:sz w:val="20"/>
                <w:szCs w:val="20"/>
              </w:rPr>
            </w:pPr>
          </w:p>
        </w:tc>
      </w:tr>
      <w:tr w:rsidR="002541AD" w14:paraId="3750E42B" w14:textId="77777777">
        <w:tc>
          <w:tcPr>
            <w:tcW w:w="0" w:type="auto"/>
            <w:shd w:val="clear" w:color="auto" w:fill="auto"/>
            <w:tcMar>
              <w:top w:w="40" w:type="dxa"/>
              <w:left w:w="240" w:type="dxa"/>
              <w:bottom w:w="40" w:type="dxa"/>
              <w:right w:w="40" w:type="dxa"/>
            </w:tcMar>
          </w:tcPr>
          <w:p w14:paraId="3750E421"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3.30%, due October 2021</w:t>
            </w:r>
          </w:p>
        </w:tc>
        <w:tc>
          <w:tcPr>
            <w:tcW w:w="0" w:type="auto"/>
            <w:shd w:val="clear" w:color="auto" w:fill="auto"/>
            <w:tcMar>
              <w:top w:w="40" w:type="dxa"/>
              <w:left w:w="40" w:type="dxa"/>
              <w:bottom w:w="40" w:type="dxa"/>
              <w:right w:w="40" w:type="dxa"/>
            </w:tcMar>
            <w:vAlign w:val="bottom"/>
          </w:tcPr>
          <w:p w14:paraId="3750E42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2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2.96</w:t>
            </w:r>
          </w:p>
        </w:tc>
        <w:tc>
          <w:tcPr>
            <w:tcW w:w="0" w:type="auto"/>
            <w:shd w:val="clear" w:color="auto" w:fill="auto"/>
            <w:tcMar>
              <w:top w:w="40" w:type="dxa"/>
              <w:bottom w:w="40" w:type="dxa"/>
              <w:right w:w="40" w:type="dxa"/>
            </w:tcMar>
            <w:vAlign w:val="bottom"/>
          </w:tcPr>
          <w:p w14:paraId="3750E424"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2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2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2,000</w:t>
            </w:r>
          </w:p>
        </w:tc>
        <w:tc>
          <w:tcPr>
            <w:tcW w:w="0" w:type="auto"/>
            <w:shd w:val="clear" w:color="auto" w:fill="auto"/>
            <w:vAlign w:val="bottom"/>
          </w:tcPr>
          <w:p w14:paraId="3750E42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2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2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2,000</w:t>
            </w:r>
          </w:p>
        </w:tc>
        <w:tc>
          <w:tcPr>
            <w:tcW w:w="0" w:type="auto"/>
            <w:shd w:val="clear" w:color="auto" w:fill="auto"/>
            <w:vAlign w:val="bottom"/>
          </w:tcPr>
          <w:p w14:paraId="3750E42A" w14:textId="77777777" w:rsidR="002541AD" w:rsidRDefault="002541AD">
            <w:pPr>
              <w:textAlignment w:val="bottom"/>
              <w:rPr>
                <w:rFonts w:ascii="Times New Roman" w:hAnsi="Times New Roman"/>
                <w:sz w:val="20"/>
                <w:szCs w:val="20"/>
              </w:rPr>
            </w:pPr>
          </w:p>
        </w:tc>
      </w:tr>
      <w:tr w:rsidR="002541AD" w14:paraId="3750E436" w14:textId="77777777">
        <w:tc>
          <w:tcPr>
            <w:tcW w:w="0" w:type="auto"/>
            <w:shd w:val="clear" w:color="auto" w:fill="auto"/>
            <w:tcMar>
              <w:top w:w="40" w:type="dxa"/>
              <w:left w:w="240" w:type="dxa"/>
              <w:bottom w:w="40" w:type="dxa"/>
              <w:right w:w="40" w:type="dxa"/>
            </w:tcMar>
          </w:tcPr>
          <w:p w14:paraId="3750E42C"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2.35%, due May 2022</w:t>
            </w:r>
          </w:p>
        </w:tc>
        <w:tc>
          <w:tcPr>
            <w:tcW w:w="0" w:type="auto"/>
            <w:shd w:val="clear" w:color="auto" w:fill="auto"/>
            <w:tcMar>
              <w:top w:w="40" w:type="dxa"/>
              <w:left w:w="40" w:type="dxa"/>
              <w:bottom w:w="40" w:type="dxa"/>
              <w:right w:w="40" w:type="dxa"/>
            </w:tcMar>
            <w:vAlign w:val="bottom"/>
          </w:tcPr>
          <w:p w14:paraId="3750E42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2E"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1.95</w:t>
            </w:r>
          </w:p>
        </w:tc>
        <w:tc>
          <w:tcPr>
            <w:tcW w:w="0" w:type="auto"/>
            <w:shd w:val="clear" w:color="auto" w:fill="auto"/>
            <w:tcMar>
              <w:top w:w="40" w:type="dxa"/>
              <w:bottom w:w="40" w:type="dxa"/>
              <w:right w:w="40" w:type="dxa"/>
            </w:tcMar>
            <w:vAlign w:val="bottom"/>
          </w:tcPr>
          <w:p w14:paraId="3750E42F"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3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3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750</w:t>
            </w:r>
          </w:p>
        </w:tc>
        <w:tc>
          <w:tcPr>
            <w:tcW w:w="0" w:type="auto"/>
            <w:shd w:val="clear" w:color="auto" w:fill="auto"/>
            <w:vAlign w:val="bottom"/>
          </w:tcPr>
          <w:p w14:paraId="3750E43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3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3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750</w:t>
            </w:r>
          </w:p>
        </w:tc>
        <w:tc>
          <w:tcPr>
            <w:tcW w:w="0" w:type="auto"/>
            <w:shd w:val="clear" w:color="auto" w:fill="auto"/>
            <w:vAlign w:val="bottom"/>
          </w:tcPr>
          <w:p w14:paraId="3750E435" w14:textId="77777777" w:rsidR="002541AD" w:rsidRDefault="002541AD">
            <w:pPr>
              <w:textAlignment w:val="bottom"/>
              <w:rPr>
                <w:rFonts w:ascii="Times New Roman" w:hAnsi="Times New Roman"/>
                <w:sz w:val="20"/>
                <w:szCs w:val="20"/>
              </w:rPr>
            </w:pPr>
          </w:p>
        </w:tc>
      </w:tr>
      <w:tr w:rsidR="002541AD" w14:paraId="3750E441" w14:textId="77777777">
        <w:tc>
          <w:tcPr>
            <w:tcW w:w="0" w:type="auto"/>
            <w:shd w:val="clear" w:color="auto" w:fill="auto"/>
            <w:tcMar>
              <w:top w:w="40" w:type="dxa"/>
              <w:left w:w="240" w:type="dxa"/>
              <w:bottom w:w="40" w:type="dxa"/>
              <w:right w:w="40" w:type="dxa"/>
            </w:tcMar>
          </w:tcPr>
          <w:p w14:paraId="3750E437"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3.10%, due July 2022</w:t>
            </w:r>
          </w:p>
        </w:tc>
        <w:tc>
          <w:tcPr>
            <w:tcW w:w="0" w:type="auto"/>
            <w:shd w:val="clear" w:color="auto" w:fill="auto"/>
            <w:tcMar>
              <w:top w:w="40" w:type="dxa"/>
              <w:left w:w="40" w:type="dxa"/>
              <w:bottom w:w="40" w:type="dxa"/>
              <w:right w:w="40" w:type="dxa"/>
            </w:tcMar>
            <w:vAlign w:val="bottom"/>
          </w:tcPr>
          <w:p w14:paraId="3750E43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3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2.68</w:t>
            </w:r>
          </w:p>
        </w:tc>
        <w:tc>
          <w:tcPr>
            <w:tcW w:w="0" w:type="auto"/>
            <w:shd w:val="clear" w:color="auto" w:fill="auto"/>
            <w:tcMar>
              <w:top w:w="40" w:type="dxa"/>
              <w:bottom w:w="40" w:type="dxa"/>
              <w:right w:w="40" w:type="dxa"/>
            </w:tcMar>
            <w:vAlign w:val="bottom"/>
          </w:tcPr>
          <w:p w14:paraId="3750E43A"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3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3C"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1,000</w:t>
            </w:r>
          </w:p>
        </w:tc>
        <w:tc>
          <w:tcPr>
            <w:tcW w:w="0" w:type="auto"/>
            <w:shd w:val="clear" w:color="auto" w:fill="auto"/>
            <w:vAlign w:val="bottom"/>
          </w:tcPr>
          <w:p w14:paraId="3750E43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3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3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1,000</w:t>
            </w:r>
          </w:p>
        </w:tc>
        <w:tc>
          <w:tcPr>
            <w:tcW w:w="0" w:type="auto"/>
            <w:shd w:val="clear" w:color="auto" w:fill="auto"/>
            <w:vAlign w:val="bottom"/>
          </w:tcPr>
          <w:p w14:paraId="3750E440" w14:textId="77777777" w:rsidR="002541AD" w:rsidRDefault="002541AD">
            <w:pPr>
              <w:textAlignment w:val="bottom"/>
              <w:rPr>
                <w:rFonts w:ascii="Times New Roman" w:hAnsi="Times New Roman"/>
                <w:sz w:val="20"/>
                <w:szCs w:val="20"/>
              </w:rPr>
            </w:pPr>
          </w:p>
        </w:tc>
      </w:tr>
      <w:tr w:rsidR="002541AD" w14:paraId="3750E44C" w14:textId="77777777">
        <w:tc>
          <w:tcPr>
            <w:tcW w:w="0" w:type="auto"/>
            <w:shd w:val="clear" w:color="auto" w:fill="auto"/>
            <w:tcMar>
              <w:top w:w="40" w:type="dxa"/>
              <w:left w:w="240" w:type="dxa"/>
              <w:bottom w:w="40" w:type="dxa"/>
              <w:right w:w="40" w:type="dxa"/>
            </w:tcMar>
          </w:tcPr>
          <w:p w14:paraId="3750E442"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4.00%, due December 2022¹</w:t>
            </w:r>
          </w:p>
        </w:tc>
        <w:tc>
          <w:tcPr>
            <w:tcW w:w="0" w:type="auto"/>
            <w:shd w:val="clear" w:color="auto" w:fill="auto"/>
            <w:tcMar>
              <w:top w:w="40" w:type="dxa"/>
              <w:left w:w="40" w:type="dxa"/>
              <w:bottom w:w="40" w:type="dxa"/>
              <w:right w:w="40" w:type="dxa"/>
            </w:tcMar>
            <w:vAlign w:val="bottom"/>
          </w:tcPr>
          <w:p w14:paraId="3750E44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44"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3.61</w:t>
            </w:r>
          </w:p>
        </w:tc>
        <w:tc>
          <w:tcPr>
            <w:tcW w:w="0" w:type="auto"/>
            <w:shd w:val="clear" w:color="auto" w:fill="auto"/>
            <w:tcMar>
              <w:top w:w="40" w:type="dxa"/>
              <w:bottom w:w="40" w:type="dxa"/>
              <w:right w:w="40" w:type="dxa"/>
            </w:tcMar>
            <w:vAlign w:val="bottom"/>
          </w:tcPr>
          <w:p w14:paraId="3750E445"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4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4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325</w:t>
            </w:r>
          </w:p>
        </w:tc>
        <w:tc>
          <w:tcPr>
            <w:tcW w:w="0" w:type="auto"/>
            <w:shd w:val="clear" w:color="auto" w:fill="auto"/>
            <w:vAlign w:val="bottom"/>
          </w:tcPr>
          <w:p w14:paraId="3750E44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4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4A"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382</w:t>
            </w:r>
          </w:p>
        </w:tc>
        <w:tc>
          <w:tcPr>
            <w:tcW w:w="0" w:type="auto"/>
            <w:shd w:val="clear" w:color="auto" w:fill="auto"/>
            <w:vAlign w:val="bottom"/>
          </w:tcPr>
          <w:p w14:paraId="3750E44B" w14:textId="77777777" w:rsidR="002541AD" w:rsidRDefault="002541AD">
            <w:pPr>
              <w:textAlignment w:val="bottom"/>
              <w:rPr>
                <w:rFonts w:ascii="Times New Roman" w:hAnsi="Times New Roman"/>
                <w:sz w:val="20"/>
                <w:szCs w:val="20"/>
              </w:rPr>
            </w:pPr>
          </w:p>
        </w:tc>
      </w:tr>
      <w:tr w:rsidR="002541AD" w14:paraId="3750E457" w14:textId="77777777">
        <w:tc>
          <w:tcPr>
            <w:tcW w:w="0" w:type="auto"/>
            <w:shd w:val="clear" w:color="auto" w:fill="auto"/>
            <w:tcMar>
              <w:top w:w="40" w:type="dxa"/>
              <w:left w:w="240" w:type="dxa"/>
              <w:bottom w:w="40" w:type="dxa"/>
              <w:right w:w="40" w:type="dxa"/>
            </w:tcMar>
          </w:tcPr>
          <w:p w14:paraId="3750E44D"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2.70%, due December 2022</w:t>
            </w:r>
          </w:p>
        </w:tc>
        <w:tc>
          <w:tcPr>
            <w:tcW w:w="0" w:type="auto"/>
            <w:shd w:val="clear" w:color="auto" w:fill="auto"/>
            <w:tcMar>
              <w:top w:w="40" w:type="dxa"/>
              <w:left w:w="40" w:type="dxa"/>
              <w:bottom w:w="40" w:type="dxa"/>
              <w:right w:w="40" w:type="dxa"/>
            </w:tcMar>
            <w:vAlign w:val="bottom"/>
          </w:tcPr>
          <w:p w14:paraId="3750E44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4F"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2.27</w:t>
            </w:r>
          </w:p>
        </w:tc>
        <w:tc>
          <w:tcPr>
            <w:tcW w:w="0" w:type="auto"/>
            <w:shd w:val="clear" w:color="auto" w:fill="auto"/>
            <w:tcMar>
              <w:top w:w="40" w:type="dxa"/>
              <w:bottom w:w="40" w:type="dxa"/>
              <w:right w:w="40" w:type="dxa"/>
            </w:tcMar>
            <w:vAlign w:val="bottom"/>
          </w:tcPr>
          <w:p w14:paraId="3750E450"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5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52"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1,500</w:t>
            </w:r>
          </w:p>
        </w:tc>
        <w:tc>
          <w:tcPr>
            <w:tcW w:w="0" w:type="auto"/>
            <w:shd w:val="clear" w:color="auto" w:fill="auto"/>
            <w:vAlign w:val="bottom"/>
          </w:tcPr>
          <w:p w14:paraId="3750E45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5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55"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1,500</w:t>
            </w:r>
          </w:p>
        </w:tc>
        <w:tc>
          <w:tcPr>
            <w:tcW w:w="0" w:type="auto"/>
            <w:shd w:val="clear" w:color="auto" w:fill="auto"/>
            <w:vAlign w:val="bottom"/>
          </w:tcPr>
          <w:p w14:paraId="3750E456" w14:textId="77777777" w:rsidR="002541AD" w:rsidRDefault="002541AD">
            <w:pPr>
              <w:textAlignment w:val="bottom"/>
              <w:rPr>
                <w:rFonts w:ascii="Times New Roman" w:hAnsi="Times New Roman"/>
                <w:sz w:val="20"/>
                <w:szCs w:val="20"/>
              </w:rPr>
            </w:pPr>
          </w:p>
        </w:tc>
      </w:tr>
      <w:tr w:rsidR="002541AD" w14:paraId="3750E462" w14:textId="77777777">
        <w:tc>
          <w:tcPr>
            <w:tcW w:w="0" w:type="auto"/>
            <w:shd w:val="clear" w:color="auto" w:fill="auto"/>
            <w:tcMar>
              <w:top w:w="40" w:type="dxa"/>
              <w:left w:w="240" w:type="dxa"/>
              <w:bottom w:w="40" w:type="dxa"/>
              <w:right w:w="40" w:type="dxa"/>
            </w:tcMar>
          </w:tcPr>
          <w:p w14:paraId="3750E458"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4.10%, due November 2023</w:t>
            </w:r>
          </w:p>
        </w:tc>
        <w:tc>
          <w:tcPr>
            <w:tcW w:w="0" w:type="auto"/>
            <w:shd w:val="clear" w:color="auto" w:fill="auto"/>
            <w:tcMar>
              <w:top w:w="40" w:type="dxa"/>
              <w:left w:w="40" w:type="dxa"/>
              <w:bottom w:w="40" w:type="dxa"/>
              <w:right w:w="40" w:type="dxa"/>
            </w:tcMar>
            <w:vAlign w:val="bottom"/>
          </w:tcPr>
          <w:p w14:paraId="3750E45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5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3.20</w:t>
            </w:r>
          </w:p>
        </w:tc>
        <w:tc>
          <w:tcPr>
            <w:tcW w:w="0" w:type="auto"/>
            <w:shd w:val="clear" w:color="auto" w:fill="auto"/>
            <w:tcMar>
              <w:top w:w="40" w:type="dxa"/>
              <w:bottom w:w="40" w:type="dxa"/>
              <w:right w:w="40" w:type="dxa"/>
            </w:tcMar>
            <w:vAlign w:val="bottom"/>
          </w:tcPr>
          <w:p w14:paraId="3750E45B"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5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5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400</w:t>
            </w:r>
          </w:p>
        </w:tc>
        <w:tc>
          <w:tcPr>
            <w:tcW w:w="0" w:type="auto"/>
            <w:shd w:val="clear" w:color="auto" w:fill="auto"/>
            <w:vAlign w:val="bottom"/>
          </w:tcPr>
          <w:p w14:paraId="3750E45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5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60"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400</w:t>
            </w:r>
          </w:p>
        </w:tc>
        <w:tc>
          <w:tcPr>
            <w:tcW w:w="0" w:type="auto"/>
            <w:shd w:val="clear" w:color="auto" w:fill="auto"/>
            <w:vAlign w:val="bottom"/>
          </w:tcPr>
          <w:p w14:paraId="3750E461" w14:textId="77777777" w:rsidR="002541AD" w:rsidRDefault="002541AD">
            <w:pPr>
              <w:textAlignment w:val="bottom"/>
              <w:rPr>
                <w:rFonts w:ascii="Times New Roman" w:hAnsi="Times New Roman"/>
                <w:sz w:val="20"/>
                <w:szCs w:val="20"/>
              </w:rPr>
            </w:pPr>
          </w:p>
        </w:tc>
      </w:tr>
      <w:tr w:rsidR="002541AD" w14:paraId="3750E46D" w14:textId="77777777">
        <w:tc>
          <w:tcPr>
            <w:tcW w:w="0" w:type="auto"/>
            <w:shd w:val="clear" w:color="auto" w:fill="auto"/>
            <w:tcMar>
              <w:top w:w="40" w:type="dxa"/>
              <w:left w:w="240" w:type="dxa"/>
              <w:bottom w:w="40" w:type="dxa"/>
              <w:right w:w="40" w:type="dxa"/>
            </w:tcMar>
          </w:tcPr>
          <w:p w14:paraId="3750E463"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2.88%, due May 2024</w:t>
            </w:r>
          </w:p>
        </w:tc>
        <w:tc>
          <w:tcPr>
            <w:tcW w:w="0" w:type="auto"/>
            <w:shd w:val="clear" w:color="auto" w:fill="auto"/>
            <w:tcMar>
              <w:top w:w="40" w:type="dxa"/>
              <w:left w:w="40" w:type="dxa"/>
              <w:bottom w:w="40" w:type="dxa"/>
              <w:right w:w="40" w:type="dxa"/>
            </w:tcMar>
            <w:vAlign w:val="bottom"/>
          </w:tcPr>
          <w:p w14:paraId="3750E46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65"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2.30</w:t>
            </w:r>
          </w:p>
        </w:tc>
        <w:tc>
          <w:tcPr>
            <w:tcW w:w="0" w:type="auto"/>
            <w:shd w:val="clear" w:color="auto" w:fill="auto"/>
            <w:tcMar>
              <w:top w:w="40" w:type="dxa"/>
              <w:bottom w:w="40" w:type="dxa"/>
              <w:right w:w="40" w:type="dxa"/>
            </w:tcMar>
            <w:vAlign w:val="bottom"/>
          </w:tcPr>
          <w:p w14:paraId="3750E466"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6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68"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1,250</w:t>
            </w:r>
          </w:p>
        </w:tc>
        <w:tc>
          <w:tcPr>
            <w:tcW w:w="0" w:type="auto"/>
            <w:shd w:val="clear" w:color="auto" w:fill="auto"/>
            <w:vAlign w:val="bottom"/>
          </w:tcPr>
          <w:p w14:paraId="3750E469"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6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6B"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1,250</w:t>
            </w:r>
          </w:p>
        </w:tc>
        <w:tc>
          <w:tcPr>
            <w:tcW w:w="0" w:type="auto"/>
            <w:shd w:val="clear" w:color="auto" w:fill="auto"/>
            <w:vAlign w:val="bottom"/>
          </w:tcPr>
          <w:p w14:paraId="3750E46C" w14:textId="77777777" w:rsidR="002541AD" w:rsidRDefault="002541AD">
            <w:pPr>
              <w:textAlignment w:val="bottom"/>
              <w:rPr>
                <w:rFonts w:ascii="Times New Roman" w:hAnsi="Times New Roman"/>
                <w:sz w:val="20"/>
                <w:szCs w:val="20"/>
              </w:rPr>
            </w:pPr>
          </w:p>
        </w:tc>
      </w:tr>
      <w:tr w:rsidR="002541AD" w14:paraId="3750E478" w14:textId="77777777">
        <w:tc>
          <w:tcPr>
            <w:tcW w:w="0" w:type="auto"/>
            <w:shd w:val="clear" w:color="auto" w:fill="auto"/>
            <w:tcMar>
              <w:top w:w="40" w:type="dxa"/>
              <w:left w:w="240" w:type="dxa"/>
              <w:bottom w:w="40" w:type="dxa"/>
              <w:right w:w="40" w:type="dxa"/>
            </w:tcMar>
          </w:tcPr>
          <w:p w14:paraId="3750E46E"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2.70%, due June 2024</w:t>
            </w:r>
          </w:p>
        </w:tc>
        <w:tc>
          <w:tcPr>
            <w:tcW w:w="0" w:type="auto"/>
            <w:shd w:val="clear" w:color="auto" w:fill="auto"/>
            <w:tcMar>
              <w:top w:w="40" w:type="dxa"/>
              <w:left w:w="40" w:type="dxa"/>
              <w:bottom w:w="40" w:type="dxa"/>
              <w:right w:w="40" w:type="dxa"/>
            </w:tcMar>
            <w:vAlign w:val="bottom"/>
          </w:tcPr>
          <w:p w14:paraId="3750E46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7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2.12</w:t>
            </w:r>
          </w:p>
        </w:tc>
        <w:tc>
          <w:tcPr>
            <w:tcW w:w="0" w:type="auto"/>
            <w:shd w:val="clear" w:color="auto" w:fill="auto"/>
            <w:tcMar>
              <w:top w:w="40" w:type="dxa"/>
              <w:bottom w:w="40" w:type="dxa"/>
              <w:right w:w="40" w:type="dxa"/>
            </w:tcMar>
            <w:vAlign w:val="bottom"/>
          </w:tcPr>
          <w:p w14:paraId="3750E471"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7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7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600</w:t>
            </w:r>
          </w:p>
        </w:tc>
        <w:tc>
          <w:tcPr>
            <w:tcW w:w="0" w:type="auto"/>
            <w:shd w:val="clear" w:color="auto" w:fill="auto"/>
            <w:vAlign w:val="bottom"/>
          </w:tcPr>
          <w:p w14:paraId="3750E47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7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7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600</w:t>
            </w:r>
          </w:p>
        </w:tc>
        <w:tc>
          <w:tcPr>
            <w:tcW w:w="0" w:type="auto"/>
            <w:shd w:val="clear" w:color="auto" w:fill="auto"/>
            <w:vAlign w:val="bottom"/>
          </w:tcPr>
          <w:p w14:paraId="3750E477" w14:textId="77777777" w:rsidR="002541AD" w:rsidRDefault="002541AD">
            <w:pPr>
              <w:textAlignment w:val="bottom"/>
              <w:rPr>
                <w:rFonts w:ascii="Times New Roman" w:hAnsi="Times New Roman"/>
                <w:sz w:val="20"/>
                <w:szCs w:val="20"/>
              </w:rPr>
            </w:pPr>
          </w:p>
        </w:tc>
      </w:tr>
      <w:tr w:rsidR="002541AD" w14:paraId="3750E483" w14:textId="77777777">
        <w:tc>
          <w:tcPr>
            <w:tcW w:w="0" w:type="auto"/>
            <w:shd w:val="clear" w:color="auto" w:fill="auto"/>
            <w:tcMar>
              <w:top w:w="40" w:type="dxa"/>
              <w:left w:w="240" w:type="dxa"/>
              <w:bottom w:w="40" w:type="dxa"/>
              <w:right w:w="40" w:type="dxa"/>
            </w:tcMar>
          </w:tcPr>
          <w:p w14:paraId="3750E479"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3.40%, due March 2025</w:t>
            </w:r>
          </w:p>
        </w:tc>
        <w:tc>
          <w:tcPr>
            <w:tcW w:w="0" w:type="auto"/>
            <w:shd w:val="clear" w:color="auto" w:fill="auto"/>
            <w:tcMar>
              <w:top w:w="40" w:type="dxa"/>
              <w:left w:w="40" w:type="dxa"/>
              <w:bottom w:w="40" w:type="dxa"/>
              <w:right w:w="40" w:type="dxa"/>
            </w:tcMar>
            <w:vAlign w:val="bottom"/>
          </w:tcPr>
          <w:p w14:paraId="3750E47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7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3.46</w:t>
            </w:r>
          </w:p>
        </w:tc>
        <w:tc>
          <w:tcPr>
            <w:tcW w:w="0" w:type="auto"/>
            <w:shd w:val="clear" w:color="auto" w:fill="auto"/>
            <w:tcMar>
              <w:top w:w="40" w:type="dxa"/>
              <w:bottom w:w="40" w:type="dxa"/>
              <w:right w:w="40" w:type="dxa"/>
            </w:tcMar>
            <w:vAlign w:val="bottom"/>
          </w:tcPr>
          <w:p w14:paraId="3750E47C"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7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7E"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1,500</w:t>
            </w:r>
          </w:p>
        </w:tc>
        <w:tc>
          <w:tcPr>
            <w:tcW w:w="0" w:type="auto"/>
            <w:shd w:val="clear" w:color="auto" w:fill="auto"/>
            <w:vAlign w:val="bottom"/>
          </w:tcPr>
          <w:p w14:paraId="3750E47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8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81"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482" w14:textId="77777777" w:rsidR="002541AD" w:rsidRDefault="002541AD">
            <w:pPr>
              <w:textAlignment w:val="bottom"/>
              <w:rPr>
                <w:rFonts w:ascii="Times New Roman" w:hAnsi="Times New Roman"/>
                <w:sz w:val="20"/>
                <w:szCs w:val="20"/>
              </w:rPr>
            </w:pPr>
          </w:p>
        </w:tc>
      </w:tr>
      <w:tr w:rsidR="002541AD" w14:paraId="3750E48E" w14:textId="77777777">
        <w:tc>
          <w:tcPr>
            <w:tcW w:w="0" w:type="auto"/>
            <w:shd w:val="clear" w:color="auto" w:fill="auto"/>
            <w:tcMar>
              <w:top w:w="40" w:type="dxa"/>
              <w:left w:w="240" w:type="dxa"/>
              <w:bottom w:w="40" w:type="dxa"/>
              <w:right w:w="40" w:type="dxa"/>
            </w:tcMar>
          </w:tcPr>
          <w:p w14:paraId="3750E484"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3.70%, due July 2025</w:t>
            </w:r>
          </w:p>
        </w:tc>
        <w:tc>
          <w:tcPr>
            <w:tcW w:w="0" w:type="auto"/>
            <w:shd w:val="clear" w:color="auto" w:fill="auto"/>
            <w:tcMar>
              <w:top w:w="40" w:type="dxa"/>
              <w:left w:w="40" w:type="dxa"/>
              <w:bottom w:w="40" w:type="dxa"/>
              <w:right w:w="40" w:type="dxa"/>
            </w:tcMar>
            <w:vAlign w:val="bottom"/>
          </w:tcPr>
          <w:p w14:paraId="3750E48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8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3.81</w:t>
            </w:r>
          </w:p>
        </w:tc>
        <w:tc>
          <w:tcPr>
            <w:tcW w:w="0" w:type="auto"/>
            <w:shd w:val="clear" w:color="auto" w:fill="auto"/>
            <w:tcMar>
              <w:top w:w="40" w:type="dxa"/>
              <w:bottom w:w="40" w:type="dxa"/>
              <w:right w:w="40" w:type="dxa"/>
            </w:tcMar>
            <w:vAlign w:val="bottom"/>
          </w:tcPr>
          <w:p w14:paraId="3750E487"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8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8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2,250</w:t>
            </w:r>
          </w:p>
        </w:tc>
        <w:tc>
          <w:tcPr>
            <w:tcW w:w="0" w:type="auto"/>
            <w:shd w:val="clear" w:color="auto" w:fill="auto"/>
            <w:vAlign w:val="bottom"/>
          </w:tcPr>
          <w:p w14:paraId="3750E48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8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8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2,250</w:t>
            </w:r>
          </w:p>
        </w:tc>
        <w:tc>
          <w:tcPr>
            <w:tcW w:w="0" w:type="auto"/>
            <w:shd w:val="clear" w:color="auto" w:fill="auto"/>
            <w:vAlign w:val="bottom"/>
          </w:tcPr>
          <w:p w14:paraId="3750E48D" w14:textId="77777777" w:rsidR="002541AD" w:rsidRDefault="002541AD">
            <w:pPr>
              <w:textAlignment w:val="bottom"/>
              <w:rPr>
                <w:rFonts w:ascii="Times New Roman" w:hAnsi="Times New Roman"/>
                <w:sz w:val="20"/>
                <w:szCs w:val="20"/>
              </w:rPr>
            </w:pPr>
          </w:p>
        </w:tc>
      </w:tr>
      <w:tr w:rsidR="002541AD" w14:paraId="3750E499" w14:textId="77777777">
        <w:tc>
          <w:tcPr>
            <w:tcW w:w="0" w:type="auto"/>
            <w:shd w:val="clear" w:color="auto" w:fill="auto"/>
            <w:tcMar>
              <w:top w:w="40" w:type="dxa"/>
              <w:left w:w="240" w:type="dxa"/>
              <w:bottom w:w="40" w:type="dxa"/>
              <w:right w:w="40" w:type="dxa"/>
            </w:tcMar>
          </w:tcPr>
          <w:p w14:paraId="3750E48F"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2.60%, due May 2026</w:t>
            </w:r>
          </w:p>
        </w:tc>
        <w:tc>
          <w:tcPr>
            <w:tcW w:w="0" w:type="auto"/>
            <w:shd w:val="clear" w:color="auto" w:fill="auto"/>
            <w:tcMar>
              <w:top w:w="40" w:type="dxa"/>
              <w:left w:w="40" w:type="dxa"/>
              <w:bottom w:w="40" w:type="dxa"/>
              <w:right w:w="40" w:type="dxa"/>
            </w:tcMar>
            <w:vAlign w:val="bottom"/>
          </w:tcPr>
          <w:p w14:paraId="3750E49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9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2.28</w:t>
            </w:r>
          </w:p>
        </w:tc>
        <w:tc>
          <w:tcPr>
            <w:tcW w:w="0" w:type="auto"/>
            <w:shd w:val="clear" w:color="auto" w:fill="auto"/>
            <w:tcMar>
              <w:top w:w="40" w:type="dxa"/>
              <w:bottom w:w="40" w:type="dxa"/>
              <w:right w:w="40" w:type="dxa"/>
            </w:tcMar>
            <w:vAlign w:val="bottom"/>
          </w:tcPr>
          <w:p w14:paraId="3750E492"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9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94"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1,000</w:t>
            </w:r>
          </w:p>
        </w:tc>
        <w:tc>
          <w:tcPr>
            <w:tcW w:w="0" w:type="auto"/>
            <w:shd w:val="clear" w:color="auto" w:fill="auto"/>
            <w:vAlign w:val="bottom"/>
          </w:tcPr>
          <w:p w14:paraId="3750E49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9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97"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1,000</w:t>
            </w:r>
          </w:p>
        </w:tc>
        <w:tc>
          <w:tcPr>
            <w:tcW w:w="0" w:type="auto"/>
            <w:shd w:val="clear" w:color="auto" w:fill="auto"/>
            <w:vAlign w:val="bottom"/>
          </w:tcPr>
          <w:p w14:paraId="3750E498" w14:textId="77777777" w:rsidR="002541AD" w:rsidRDefault="002541AD">
            <w:pPr>
              <w:textAlignment w:val="bottom"/>
              <w:rPr>
                <w:rFonts w:ascii="Times New Roman" w:hAnsi="Times New Roman"/>
                <w:sz w:val="20"/>
                <w:szCs w:val="20"/>
              </w:rPr>
            </w:pPr>
          </w:p>
        </w:tc>
      </w:tr>
      <w:tr w:rsidR="002541AD" w14:paraId="3750E4A4" w14:textId="77777777">
        <w:tc>
          <w:tcPr>
            <w:tcW w:w="0" w:type="auto"/>
            <w:shd w:val="clear" w:color="auto" w:fill="auto"/>
            <w:tcMar>
              <w:top w:w="40" w:type="dxa"/>
              <w:left w:w="240" w:type="dxa"/>
              <w:bottom w:w="40" w:type="dxa"/>
              <w:right w:w="40" w:type="dxa"/>
            </w:tcMar>
          </w:tcPr>
          <w:p w14:paraId="3750E49A"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3.75%, due March 2027</w:t>
            </w:r>
          </w:p>
        </w:tc>
        <w:tc>
          <w:tcPr>
            <w:tcW w:w="0" w:type="auto"/>
            <w:shd w:val="clear" w:color="auto" w:fill="auto"/>
            <w:tcMar>
              <w:top w:w="40" w:type="dxa"/>
              <w:left w:w="40" w:type="dxa"/>
              <w:bottom w:w="40" w:type="dxa"/>
              <w:right w:w="40" w:type="dxa"/>
            </w:tcMar>
            <w:vAlign w:val="bottom"/>
          </w:tcPr>
          <w:p w14:paraId="3750E49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9C"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3.80</w:t>
            </w:r>
          </w:p>
        </w:tc>
        <w:tc>
          <w:tcPr>
            <w:tcW w:w="0" w:type="auto"/>
            <w:shd w:val="clear" w:color="auto" w:fill="auto"/>
            <w:tcMar>
              <w:top w:w="40" w:type="dxa"/>
              <w:bottom w:w="40" w:type="dxa"/>
              <w:right w:w="40" w:type="dxa"/>
            </w:tcMar>
            <w:vAlign w:val="bottom"/>
          </w:tcPr>
          <w:p w14:paraId="3750E49D"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9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9F"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1,000</w:t>
            </w:r>
          </w:p>
        </w:tc>
        <w:tc>
          <w:tcPr>
            <w:tcW w:w="0" w:type="auto"/>
            <w:shd w:val="clear" w:color="auto" w:fill="auto"/>
            <w:vAlign w:val="bottom"/>
          </w:tcPr>
          <w:p w14:paraId="3750E4A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A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A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4A3" w14:textId="77777777" w:rsidR="002541AD" w:rsidRDefault="002541AD">
            <w:pPr>
              <w:textAlignment w:val="bottom"/>
              <w:rPr>
                <w:rFonts w:ascii="Times New Roman" w:hAnsi="Times New Roman"/>
                <w:sz w:val="20"/>
                <w:szCs w:val="20"/>
              </w:rPr>
            </w:pPr>
          </w:p>
        </w:tc>
      </w:tr>
      <w:tr w:rsidR="002541AD" w14:paraId="3750E4AF" w14:textId="77777777">
        <w:tc>
          <w:tcPr>
            <w:tcW w:w="0" w:type="auto"/>
            <w:shd w:val="clear" w:color="auto" w:fill="auto"/>
            <w:tcMar>
              <w:top w:w="40" w:type="dxa"/>
              <w:left w:w="240" w:type="dxa"/>
              <w:bottom w:w="40" w:type="dxa"/>
              <w:right w:w="40" w:type="dxa"/>
            </w:tcMar>
          </w:tcPr>
          <w:p w14:paraId="3750E4A5"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 xml:space="preserve">3.15%, due </w:t>
            </w:r>
            <w:r>
              <w:rPr>
                <w:rFonts w:ascii="Arial" w:eastAsia="宋体" w:hAnsi="Arial" w:cs="Arial"/>
                <w:color w:val="333333"/>
                <w:sz w:val="18"/>
                <w:szCs w:val="18"/>
              </w:rPr>
              <w:t>May 2027</w:t>
            </w:r>
          </w:p>
        </w:tc>
        <w:tc>
          <w:tcPr>
            <w:tcW w:w="0" w:type="auto"/>
            <w:shd w:val="clear" w:color="auto" w:fill="auto"/>
            <w:tcMar>
              <w:top w:w="40" w:type="dxa"/>
              <w:left w:w="40" w:type="dxa"/>
              <w:bottom w:w="40" w:type="dxa"/>
              <w:right w:w="40" w:type="dxa"/>
            </w:tcMar>
            <w:vAlign w:val="bottom"/>
          </w:tcPr>
          <w:p w14:paraId="3750E4A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A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2.84</w:t>
            </w:r>
          </w:p>
        </w:tc>
        <w:tc>
          <w:tcPr>
            <w:tcW w:w="0" w:type="auto"/>
            <w:shd w:val="clear" w:color="auto" w:fill="auto"/>
            <w:tcMar>
              <w:top w:w="40" w:type="dxa"/>
              <w:bottom w:w="40" w:type="dxa"/>
              <w:right w:w="40" w:type="dxa"/>
            </w:tcMar>
            <w:vAlign w:val="bottom"/>
          </w:tcPr>
          <w:p w14:paraId="3750E4A8"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A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A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1,000</w:t>
            </w:r>
          </w:p>
        </w:tc>
        <w:tc>
          <w:tcPr>
            <w:tcW w:w="0" w:type="auto"/>
            <w:shd w:val="clear" w:color="auto" w:fill="auto"/>
            <w:vAlign w:val="bottom"/>
          </w:tcPr>
          <w:p w14:paraId="3750E4A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A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AD"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1,000</w:t>
            </w:r>
          </w:p>
        </w:tc>
        <w:tc>
          <w:tcPr>
            <w:tcW w:w="0" w:type="auto"/>
            <w:shd w:val="clear" w:color="auto" w:fill="auto"/>
            <w:vAlign w:val="bottom"/>
          </w:tcPr>
          <w:p w14:paraId="3750E4AE" w14:textId="77777777" w:rsidR="002541AD" w:rsidRDefault="002541AD">
            <w:pPr>
              <w:textAlignment w:val="bottom"/>
              <w:rPr>
                <w:rFonts w:ascii="Times New Roman" w:hAnsi="Times New Roman"/>
                <w:sz w:val="20"/>
                <w:szCs w:val="20"/>
              </w:rPr>
            </w:pPr>
          </w:p>
        </w:tc>
      </w:tr>
      <w:tr w:rsidR="002541AD" w14:paraId="3750E4BA" w14:textId="77777777">
        <w:tc>
          <w:tcPr>
            <w:tcW w:w="0" w:type="auto"/>
            <w:shd w:val="clear" w:color="auto" w:fill="auto"/>
            <w:tcMar>
              <w:top w:w="40" w:type="dxa"/>
              <w:left w:w="240" w:type="dxa"/>
              <w:bottom w:w="40" w:type="dxa"/>
              <w:right w:w="40" w:type="dxa"/>
            </w:tcMar>
          </w:tcPr>
          <w:p w14:paraId="3750E4B0"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2.45%, due November 2029</w:t>
            </w:r>
          </w:p>
        </w:tc>
        <w:tc>
          <w:tcPr>
            <w:tcW w:w="0" w:type="auto"/>
            <w:shd w:val="clear" w:color="auto" w:fill="auto"/>
            <w:tcMar>
              <w:top w:w="40" w:type="dxa"/>
              <w:left w:w="40" w:type="dxa"/>
              <w:bottom w:w="40" w:type="dxa"/>
              <w:right w:w="40" w:type="dxa"/>
            </w:tcMar>
            <w:vAlign w:val="bottom"/>
          </w:tcPr>
          <w:p w14:paraId="3750E4B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B2"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2.45</w:t>
            </w:r>
          </w:p>
        </w:tc>
        <w:tc>
          <w:tcPr>
            <w:tcW w:w="0" w:type="auto"/>
            <w:shd w:val="clear" w:color="auto" w:fill="auto"/>
            <w:tcMar>
              <w:top w:w="40" w:type="dxa"/>
              <w:bottom w:w="40" w:type="dxa"/>
              <w:right w:w="40" w:type="dxa"/>
            </w:tcMar>
            <w:vAlign w:val="bottom"/>
          </w:tcPr>
          <w:p w14:paraId="3750E4B3"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B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B5"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2,000</w:t>
            </w:r>
          </w:p>
        </w:tc>
        <w:tc>
          <w:tcPr>
            <w:tcW w:w="0" w:type="auto"/>
            <w:shd w:val="clear" w:color="auto" w:fill="auto"/>
            <w:vAlign w:val="bottom"/>
          </w:tcPr>
          <w:p w14:paraId="3750E4B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B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B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1,250</w:t>
            </w:r>
          </w:p>
        </w:tc>
        <w:tc>
          <w:tcPr>
            <w:tcW w:w="0" w:type="auto"/>
            <w:shd w:val="clear" w:color="auto" w:fill="auto"/>
            <w:vAlign w:val="bottom"/>
          </w:tcPr>
          <w:p w14:paraId="3750E4B9" w14:textId="77777777" w:rsidR="002541AD" w:rsidRDefault="002541AD">
            <w:pPr>
              <w:textAlignment w:val="bottom"/>
              <w:rPr>
                <w:rFonts w:ascii="Times New Roman" w:hAnsi="Times New Roman"/>
                <w:sz w:val="20"/>
                <w:szCs w:val="20"/>
              </w:rPr>
            </w:pPr>
          </w:p>
        </w:tc>
      </w:tr>
      <w:tr w:rsidR="002541AD" w14:paraId="3750E4C5" w14:textId="77777777">
        <w:tc>
          <w:tcPr>
            <w:tcW w:w="0" w:type="auto"/>
            <w:shd w:val="clear" w:color="auto" w:fill="auto"/>
            <w:tcMar>
              <w:top w:w="40" w:type="dxa"/>
              <w:left w:w="240" w:type="dxa"/>
              <w:bottom w:w="40" w:type="dxa"/>
              <w:right w:w="40" w:type="dxa"/>
            </w:tcMar>
          </w:tcPr>
          <w:p w14:paraId="3750E4BB"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3.90%, due March 2030</w:t>
            </w:r>
          </w:p>
        </w:tc>
        <w:tc>
          <w:tcPr>
            <w:tcW w:w="0" w:type="auto"/>
            <w:shd w:val="clear" w:color="auto" w:fill="auto"/>
            <w:tcMar>
              <w:top w:w="40" w:type="dxa"/>
              <w:left w:w="40" w:type="dxa"/>
              <w:bottom w:w="40" w:type="dxa"/>
              <w:right w:w="40" w:type="dxa"/>
            </w:tcMar>
            <w:vAlign w:val="bottom"/>
          </w:tcPr>
          <w:p w14:paraId="3750E4B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B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3.94</w:t>
            </w:r>
          </w:p>
        </w:tc>
        <w:tc>
          <w:tcPr>
            <w:tcW w:w="0" w:type="auto"/>
            <w:shd w:val="clear" w:color="auto" w:fill="auto"/>
            <w:tcMar>
              <w:top w:w="40" w:type="dxa"/>
              <w:bottom w:w="40" w:type="dxa"/>
              <w:right w:w="40" w:type="dxa"/>
            </w:tcMar>
            <w:vAlign w:val="bottom"/>
          </w:tcPr>
          <w:p w14:paraId="3750E4BE"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B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C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1,500</w:t>
            </w:r>
          </w:p>
        </w:tc>
        <w:tc>
          <w:tcPr>
            <w:tcW w:w="0" w:type="auto"/>
            <w:shd w:val="clear" w:color="auto" w:fill="auto"/>
            <w:vAlign w:val="bottom"/>
          </w:tcPr>
          <w:p w14:paraId="3750E4C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C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C3"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4C4" w14:textId="77777777" w:rsidR="002541AD" w:rsidRDefault="002541AD">
            <w:pPr>
              <w:textAlignment w:val="bottom"/>
              <w:rPr>
                <w:rFonts w:ascii="Times New Roman" w:hAnsi="Times New Roman"/>
                <w:sz w:val="20"/>
                <w:szCs w:val="20"/>
              </w:rPr>
            </w:pPr>
          </w:p>
        </w:tc>
      </w:tr>
      <w:tr w:rsidR="002541AD" w14:paraId="3750E4D0" w14:textId="77777777">
        <w:tc>
          <w:tcPr>
            <w:tcW w:w="0" w:type="auto"/>
            <w:shd w:val="clear" w:color="auto" w:fill="auto"/>
            <w:tcMar>
              <w:top w:w="40" w:type="dxa"/>
              <w:left w:w="240" w:type="dxa"/>
              <w:bottom w:w="40" w:type="dxa"/>
              <w:right w:w="40" w:type="dxa"/>
            </w:tcMar>
          </w:tcPr>
          <w:p w14:paraId="3750E4C6"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4.00%, due December 2032</w:t>
            </w:r>
          </w:p>
        </w:tc>
        <w:tc>
          <w:tcPr>
            <w:tcW w:w="0" w:type="auto"/>
            <w:shd w:val="clear" w:color="auto" w:fill="auto"/>
            <w:tcMar>
              <w:top w:w="40" w:type="dxa"/>
              <w:left w:w="40" w:type="dxa"/>
              <w:bottom w:w="40" w:type="dxa"/>
              <w:right w:w="40" w:type="dxa"/>
            </w:tcMar>
            <w:vAlign w:val="bottom"/>
          </w:tcPr>
          <w:p w14:paraId="3750E4C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C8"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2.82</w:t>
            </w:r>
          </w:p>
        </w:tc>
        <w:tc>
          <w:tcPr>
            <w:tcW w:w="0" w:type="auto"/>
            <w:shd w:val="clear" w:color="auto" w:fill="auto"/>
            <w:tcMar>
              <w:top w:w="40" w:type="dxa"/>
              <w:bottom w:w="40" w:type="dxa"/>
              <w:right w:w="40" w:type="dxa"/>
            </w:tcMar>
            <w:vAlign w:val="bottom"/>
          </w:tcPr>
          <w:p w14:paraId="3750E4C9"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C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C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750</w:t>
            </w:r>
          </w:p>
        </w:tc>
        <w:tc>
          <w:tcPr>
            <w:tcW w:w="0" w:type="auto"/>
            <w:shd w:val="clear" w:color="auto" w:fill="auto"/>
            <w:vAlign w:val="bottom"/>
          </w:tcPr>
          <w:p w14:paraId="3750E4C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C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C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750</w:t>
            </w:r>
          </w:p>
        </w:tc>
        <w:tc>
          <w:tcPr>
            <w:tcW w:w="0" w:type="auto"/>
            <w:shd w:val="clear" w:color="auto" w:fill="auto"/>
            <w:vAlign w:val="bottom"/>
          </w:tcPr>
          <w:p w14:paraId="3750E4CF" w14:textId="77777777" w:rsidR="002541AD" w:rsidRDefault="002541AD">
            <w:pPr>
              <w:textAlignment w:val="bottom"/>
              <w:rPr>
                <w:rFonts w:ascii="Times New Roman" w:hAnsi="Times New Roman"/>
                <w:sz w:val="20"/>
                <w:szCs w:val="20"/>
              </w:rPr>
            </w:pPr>
          </w:p>
        </w:tc>
      </w:tr>
      <w:tr w:rsidR="002541AD" w14:paraId="3750E4DB" w14:textId="77777777">
        <w:tc>
          <w:tcPr>
            <w:tcW w:w="0" w:type="auto"/>
            <w:shd w:val="clear" w:color="auto" w:fill="auto"/>
            <w:tcMar>
              <w:top w:w="40" w:type="dxa"/>
              <w:left w:w="240" w:type="dxa"/>
              <w:bottom w:w="40" w:type="dxa"/>
              <w:right w:w="40" w:type="dxa"/>
            </w:tcMar>
          </w:tcPr>
          <w:p w14:paraId="3750E4D1"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4.60%, due March 2040</w:t>
            </w:r>
          </w:p>
        </w:tc>
        <w:tc>
          <w:tcPr>
            <w:tcW w:w="0" w:type="auto"/>
            <w:shd w:val="clear" w:color="auto" w:fill="auto"/>
            <w:tcMar>
              <w:top w:w="40" w:type="dxa"/>
              <w:left w:w="40" w:type="dxa"/>
              <w:bottom w:w="40" w:type="dxa"/>
              <w:right w:w="40" w:type="dxa"/>
            </w:tcMar>
            <w:vAlign w:val="bottom"/>
          </w:tcPr>
          <w:p w14:paraId="3750E4D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D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4.63</w:t>
            </w:r>
          </w:p>
        </w:tc>
        <w:tc>
          <w:tcPr>
            <w:tcW w:w="0" w:type="auto"/>
            <w:shd w:val="clear" w:color="auto" w:fill="auto"/>
            <w:tcMar>
              <w:top w:w="40" w:type="dxa"/>
              <w:bottom w:w="40" w:type="dxa"/>
              <w:right w:w="40" w:type="dxa"/>
            </w:tcMar>
            <w:vAlign w:val="bottom"/>
          </w:tcPr>
          <w:p w14:paraId="3750E4D4"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D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D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750</w:t>
            </w:r>
          </w:p>
        </w:tc>
        <w:tc>
          <w:tcPr>
            <w:tcW w:w="0" w:type="auto"/>
            <w:shd w:val="clear" w:color="auto" w:fill="auto"/>
            <w:vAlign w:val="bottom"/>
          </w:tcPr>
          <w:p w14:paraId="3750E4D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D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D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4DA" w14:textId="77777777" w:rsidR="002541AD" w:rsidRDefault="002541AD">
            <w:pPr>
              <w:textAlignment w:val="bottom"/>
              <w:rPr>
                <w:rFonts w:ascii="Times New Roman" w:hAnsi="Times New Roman"/>
                <w:sz w:val="20"/>
                <w:szCs w:val="20"/>
              </w:rPr>
            </w:pPr>
          </w:p>
        </w:tc>
      </w:tr>
      <w:tr w:rsidR="002541AD" w14:paraId="3750E4E6" w14:textId="77777777">
        <w:tc>
          <w:tcPr>
            <w:tcW w:w="0" w:type="auto"/>
            <w:shd w:val="clear" w:color="auto" w:fill="auto"/>
            <w:tcMar>
              <w:top w:w="40" w:type="dxa"/>
              <w:left w:w="240" w:type="dxa"/>
              <w:bottom w:w="40" w:type="dxa"/>
              <w:right w:w="40" w:type="dxa"/>
            </w:tcMar>
          </w:tcPr>
          <w:p w14:paraId="3750E4DC"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4.80%, due October 2041</w:t>
            </w:r>
          </w:p>
        </w:tc>
        <w:tc>
          <w:tcPr>
            <w:tcW w:w="0" w:type="auto"/>
            <w:shd w:val="clear" w:color="auto" w:fill="auto"/>
            <w:tcMar>
              <w:top w:w="40" w:type="dxa"/>
              <w:left w:w="40" w:type="dxa"/>
              <w:bottom w:w="40" w:type="dxa"/>
              <w:right w:w="40" w:type="dxa"/>
            </w:tcMar>
            <w:vAlign w:val="bottom"/>
          </w:tcPr>
          <w:p w14:paraId="3750E4D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DE"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3.75</w:t>
            </w:r>
          </w:p>
        </w:tc>
        <w:tc>
          <w:tcPr>
            <w:tcW w:w="0" w:type="auto"/>
            <w:shd w:val="clear" w:color="auto" w:fill="auto"/>
            <w:tcMar>
              <w:top w:w="40" w:type="dxa"/>
              <w:bottom w:w="40" w:type="dxa"/>
              <w:right w:w="40" w:type="dxa"/>
            </w:tcMar>
            <w:vAlign w:val="bottom"/>
          </w:tcPr>
          <w:p w14:paraId="3750E4DF"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E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E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802</w:t>
            </w:r>
          </w:p>
        </w:tc>
        <w:tc>
          <w:tcPr>
            <w:tcW w:w="0" w:type="auto"/>
            <w:shd w:val="clear" w:color="auto" w:fill="auto"/>
            <w:vAlign w:val="bottom"/>
          </w:tcPr>
          <w:p w14:paraId="3750E4E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E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E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802</w:t>
            </w:r>
          </w:p>
        </w:tc>
        <w:tc>
          <w:tcPr>
            <w:tcW w:w="0" w:type="auto"/>
            <w:shd w:val="clear" w:color="auto" w:fill="auto"/>
            <w:vAlign w:val="bottom"/>
          </w:tcPr>
          <w:p w14:paraId="3750E4E5" w14:textId="77777777" w:rsidR="002541AD" w:rsidRDefault="002541AD">
            <w:pPr>
              <w:textAlignment w:val="bottom"/>
              <w:rPr>
                <w:rFonts w:ascii="Times New Roman" w:hAnsi="Times New Roman"/>
                <w:sz w:val="20"/>
                <w:szCs w:val="20"/>
              </w:rPr>
            </w:pPr>
          </w:p>
        </w:tc>
      </w:tr>
      <w:tr w:rsidR="002541AD" w14:paraId="3750E4F1" w14:textId="77777777">
        <w:tc>
          <w:tcPr>
            <w:tcW w:w="0" w:type="auto"/>
            <w:shd w:val="clear" w:color="auto" w:fill="auto"/>
            <w:tcMar>
              <w:top w:w="40" w:type="dxa"/>
              <w:left w:w="240" w:type="dxa"/>
              <w:bottom w:w="40" w:type="dxa"/>
              <w:right w:w="40" w:type="dxa"/>
            </w:tcMar>
          </w:tcPr>
          <w:p w14:paraId="3750E4E7"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4.25%, due December 2042</w:t>
            </w:r>
          </w:p>
        </w:tc>
        <w:tc>
          <w:tcPr>
            <w:tcW w:w="0" w:type="auto"/>
            <w:shd w:val="clear" w:color="auto" w:fill="auto"/>
            <w:tcMar>
              <w:top w:w="40" w:type="dxa"/>
              <w:left w:w="40" w:type="dxa"/>
              <w:bottom w:w="40" w:type="dxa"/>
              <w:right w:w="40" w:type="dxa"/>
            </w:tcMar>
            <w:vAlign w:val="bottom"/>
          </w:tcPr>
          <w:p w14:paraId="3750E4E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E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3.00</w:t>
            </w:r>
          </w:p>
        </w:tc>
        <w:tc>
          <w:tcPr>
            <w:tcW w:w="0" w:type="auto"/>
            <w:shd w:val="clear" w:color="auto" w:fill="auto"/>
            <w:tcMar>
              <w:top w:w="40" w:type="dxa"/>
              <w:bottom w:w="40" w:type="dxa"/>
              <w:right w:w="40" w:type="dxa"/>
            </w:tcMar>
            <w:vAlign w:val="bottom"/>
          </w:tcPr>
          <w:p w14:paraId="3750E4EA"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E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EC"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567</w:t>
            </w:r>
          </w:p>
        </w:tc>
        <w:tc>
          <w:tcPr>
            <w:tcW w:w="0" w:type="auto"/>
            <w:shd w:val="clear" w:color="auto" w:fill="auto"/>
            <w:vAlign w:val="bottom"/>
          </w:tcPr>
          <w:p w14:paraId="3750E4E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E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E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567</w:t>
            </w:r>
          </w:p>
        </w:tc>
        <w:tc>
          <w:tcPr>
            <w:tcW w:w="0" w:type="auto"/>
            <w:shd w:val="clear" w:color="auto" w:fill="auto"/>
            <w:vAlign w:val="bottom"/>
          </w:tcPr>
          <w:p w14:paraId="3750E4F0" w14:textId="77777777" w:rsidR="002541AD" w:rsidRDefault="002541AD">
            <w:pPr>
              <w:textAlignment w:val="bottom"/>
              <w:rPr>
                <w:rFonts w:ascii="Times New Roman" w:hAnsi="Times New Roman"/>
                <w:sz w:val="20"/>
                <w:szCs w:val="20"/>
              </w:rPr>
            </w:pPr>
          </w:p>
        </w:tc>
      </w:tr>
      <w:tr w:rsidR="002541AD" w14:paraId="3750E4FC" w14:textId="77777777">
        <w:tc>
          <w:tcPr>
            <w:tcW w:w="0" w:type="auto"/>
            <w:shd w:val="clear" w:color="auto" w:fill="auto"/>
            <w:tcMar>
              <w:top w:w="40" w:type="dxa"/>
              <w:left w:w="240" w:type="dxa"/>
              <w:bottom w:w="40" w:type="dxa"/>
              <w:right w:w="40" w:type="dxa"/>
            </w:tcMar>
          </w:tcPr>
          <w:p w14:paraId="3750E4F2"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4.90%, due July 2045</w:t>
            </w:r>
          </w:p>
        </w:tc>
        <w:tc>
          <w:tcPr>
            <w:tcW w:w="0" w:type="auto"/>
            <w:shd w:val="clear" w:color="auto" w:fill="auto"/>
            <w:tcMar>
              <w:top w:w="40" w:type="dxa"/>
              <w:left w:w="40" w:type="dxa"/>
              <w:bottom w:w="40" w:type="dxa"/>
              <w:right w:w="40" w:type="dxa"/>
            </w:tcMar>
            <w:vAlign w:val="bottom"/>
          </w:tcPr>
          <w:p w14:paraId="3750E4F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F4"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3.78</w:t>
            </w:r>
          </w:p>
        </w:tc>
        <w:tc>
          <w:tcPr>
            <w:tcW w:w="0" w:type="auto"/>
            <w:shd w:val="clear" w:color="auto" w:fill="auto"/>
            <w:tcMar>
              <w:top w:w="40" w:type="dxa"/>
              <w:bottom w:w="40" w:type="dxa"/>
              <w:right w:w="40" w:type="dxa"/>
            </w:tcMar>
            <w:vAlign w:val="bottom"/>
          </w:tcPr>
          <w:p w14:paraId="3750E4F5"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4F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F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772</w:t>
            </w:r>
          </w:p>
        </w:tc>
        <w:tc>
          <w:tcPr>
            <w:tcW w:w="0" w:type="auto"/>
            <w:shd w:val="clear" w:color="auto" w:fill="auto"/>
            <w:vAlign w:val="bottom"/>
          </w:tcPr>
          <w:p w14:paraId="3750E4F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4F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4FA"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772</w:t>
            </w:r>
          </w:p>
        </w:tc>
        <w:tc>
          <w:tcPr>
            <w:tcW w:w="0" w:type="auto"/>
            <w:shd w:val="clear" w:color="auto" w:fill="auto"/>
            <w:vAlign w:val="bottom"/>
          </w:tcPr>
          <w:p w14:paraId="3750E4FB" w14:textId="77777777" w:rsidR="002541AD" w:rsidRDefault="002541AD">
            <w:pPr>
              <w:textAlignment w:val="bottom"/>
              <w:rPr>
                <w:rFonts w:ascii="Times New Roman" w:hAnsi="Times New Roman"/>
                <w:sz w:val="20"/>
                <w:szCs w:val="20"/>
              </w:rPr>
            </w:pPr>
          </w:p>
        </w:tc>
      </w:tr>
      <w:tr w:rsidR="002541AD" w14:paraId="3750E507" w14:textId="77777777">
        <w:tc>
          <w:tcPr>
            <w:tcW w:w="0" w:type="auto"/>
            <w:shd w:val="clear" w:color="auto" w:fill="auto"/>
            <w:tcMar>
              <w:top w:w="40" w:type="dxa"/>
              <w:left w:w="240" w:type="dxa"/>
              <w:bottom w:w="40" w:type="dxa"/>
              <w:right w:w="40" w:type="dxa"/>
            </w:tcMar>
          </w:tcPr>
          <w:p w14:paraId="3750E4FD"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4.10%, due May 2046</w:t>
            </w:r>
          </w:p>
        </w:tc>
        <w:tc>
          <w:tcPr>
            <w:tcW w:w="0" w:type="auto"/>
            <w:shd w:val="clear" w:color="auto" w:fill="auto"/>
            <w:tcMar>
              <w:top w:w="40" w:type="dxa"/>
              <w:left w:w="40" w:type="dxa"/>
              <w:bottom w:w="40" w:type="dxa"/>
              <w:right w:w="40" w:type="dxa"/>
            </w:tcMar>
            <w:vAlign w:val="bottom"/>
          </w:tcPr>
          <w:p w14:paraId="3750E4F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4FF"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3.04</w:t>
            </w:r>
          </w:p>
        </w:tc>
        <w:tc>
          <w:tcPr>
            <w:tcW w:w="0" w:type="auto"/>
            <w:shd w:val="clear" w:color="auto" w:fill="auto"/>
            <w:tcMar>
              <w:top w:w="40" w:type="dxa"/>
              <w:bottom w:w="40" w:type="dxa"/>
              <w:right w:w="40" w:type="dxa"/>
            </w:tcMar>
            <w:vAlign w:val="bottom"/>
          </w:tcPr>
          <w:p w14:paraId="3750E500"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50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02"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1,250</w:t>
            </w:r>
          </w:p>
        </w:tc>
        <w:tc>
          <w:tcPr>
            <w:tcW w:w="0" w:type="auto"/>
            <w:shd w:val="clear" w:color="auto" w:fill="auto"/>
            <w:vAlign w:val="bottom"/>
          </w:tcPr>
          <w:p w14:paraId="3750E50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50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05"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1,250</w:t>
            </w:r>
          </w:p>
        </w:tc>
        <w:tc>
          <w:tcPr>
            <w:tcW w:w="0" w:type="auto"/>
            <w:shd w:val="clear" w:color="auto" w:fill="auto"/>
            <w:vAlign w:val="bottom"/>
          </w:tcPr>
          <w:p w14:paraId="3750E506" w14:textId="77777777" w:rsidR="002541AD" w:rsidRDefault="002541AD">
            <w:pPr>
              <w:textAlignment w:val="bottom"/>
              <w:rPr>
                <w:rFonts w:ascii="Times New Roman" w:hAnsi="Times New Roman"/>
                <w:sz w:val="20"/>
                <w:szCs w:val="20"/>
              </w:rPr>
            </w:pPr>
          </w:p>
        </w:tc>
      </w:tr>
      <w:tr w:rsidR="002541AD" w14:paraId="3750E512" w14:textId="77777777">
        <w:tc>
          <w:tcPr>
            <w:tcW w:w="0" w:type="auto"/>
            <w:shd w:val="clear" w:color="auto" w:fill="auto"/>
            <w:tcMar>
              <w:top w:w="40" w:type="dxa"/>
              <w:left w:w="240" w:type="dxa"/>
              <w:bottom w:w="40" w:type="dxa"/>
              <w:right w:w="40" w:type="dxa"/>
            </w:tcMar>
          </w:tcPr>
          <w:p w14:paraId="3750E508"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4.10%, due May 2047</w:t>
            </w:r>
          </w:p>
        </w:tc>
        <w:tc>
          <w:tcPr>
            <w:tcW w:w="0" w:type="auto"/>
            <w:shd w:val="clear" w:color="auto" w:fill="auto"/>
            <w:tcMar>
              <w:top w:w="40" w:type="dxa"/>
              <w:left w:w="40" w:type="dxa"/>
              <w:bottom w:w="40" w:type="dxa"/>
              <w:right w:w="40" w:type="dxa"/>
            </w:tcMar>
            <w:vAlign w:val="bottom"/>
          </w:tcPr>
          <w:p w14:paraId="3750E50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50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3.00</w:t>
            </w:r>
          </w:p>
        </w:tc>
        <w:tc>
          <w:tcPr>
            <w:tcW w:w="0" w:type="auto"/>
            <w:shd w:val="clear" w:color="auto" w:fill="auto"/>
            <w:tcMar>
              <w:top w:w="40" w:type="dxa"/>
              <w:bottom w:w="40" w:type="dxa"/>
              <w:right w:w="40" w:type="dxa"/>
            </w:tcMar>
            <w:vAlign w:val="bottom"/>
          </w:tcPr>
          <w:p w14:paraId="3750E50B"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50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0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1,000</w:t>
            </w:r>
          </w:p>
        </w:tc>
        <w:tc>
          <w:tcPr>
            <w:tcW w:w="0" w:type="auto"/>
            <w:shd w:val="clear" w:color="auto" w:fill="auto"/>
            <w:vAlign w:val="bottom"/>
          </w:tcPr>
          <w:p w14:paraId="3750E50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50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10"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1,000</w:t>
            </w:r>
          </w:p>
        </w:tc>
        <w:tc>
          <w:tcPr>
            <w:tcW w:w="0" w:type="auto"/>
            <w:shd w:val="clear" w:color="auto" w:fill="auto"/>
            <w:vAlign w:val="bottom"/>
          </w:tcPr>
          <w:p w14:paraId="3750E511" w14:textId="77777777" w:rsidR="002541AD" w:rsidRDefault="002541AD">
            <w:pPr>
              <w:textAlignment w:val="bottom"/>
              <w:rPr>
                <w:rFonts w:ascii="Times New Roman" w:hAnsi="Times New Roman"/>
                <w:sz w:val="20"/>
                <w:szCs w:val="20"/>
              </w:rPr>
            </w:pPr>
          </w:p>
        </w:tc>
      </w:tr>
      <w:tr w:rsidR="002541AD" w14:paraId="3750E51D" w14:textId="77777777">
        <w:tc>
          <w:tcPr>
            <w:tcW w:w="0" w:type="auto"/>
            <w:shd w:val="clear" w:color="auto" w:fill="auto"/>
            <w:tcMar>
              <w:top w:w="40" w:type="dxa"/>
              <w:left w:w="240" w:type="dxa"/>
              <w:bottom w:w="40" w:type="dxa"/>
              <w:right w:w="40" w:type="dxa"/>
            </w:tcMar>
          </w:tcPr>
          <w:p w14:paraId="3750E513"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4.10%, due August 2047</w:t>
            </w:r>
          </w:p>
        </w:tc>
        <w:tc>
          <w:tcPr>
            <w:tcW w:w="0" w:type="auto"/>
            <w:shd w:val="clear" w:color="auto" w:fill="auto"/>
            <w:tcMar>
              <w:top w:w="40" w:type="dxa"/>
              <w:left w:w="40" w:type="dxa"/>
              <w:bottom w:w="40" w:type="dxa"/>
              <w:right w:w="40" w:type="dxa"/>
            </w:tcMar>
            <w:vAlign w:val="bottom"/>
          </w:tcPr>
          <w:p w14:paraId="3750E51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515"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2.58</w:t>
            </w:r>
          </w:p>
        </w:tc>
        <w:tc>
          <w:tcPr>
            <w:tcW w:w="0" w:type="auto"/>
            <w:shd w:val="clear" w:color="auto" w:fill="auto"/>
            <w:tcMar>
              <w:top w:w="40" w:type="dxa"/>
              <w:bottom w:w="40" w:type="dxa"/>
              <w:right w:w="40" w:type="dxa"/>
            </w:tcMar>
            <w:vAlign w:val="bottom"/>
          </w:tcPr>
          <w:p w14:paraId="3750E516"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51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18"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640</w:t>
            </w:r>
          </w:p>
        </w:tc>
        <w:tc>
          <w:tcPr>
            <w:tcW w:w="0" w:type="auto"/>
            <w:shd w:val="clear" w:color="auto" w:fill="auto"/>
            <w:vAlign w:val="bottom"/>
          </w:tcPr>
          <w:p w14:paraId="3750E519"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51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1B"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640</w:t>
            </w:r>
          </w:p>
        </w:tc>
        <w:tc>
          <w:tcPr>
            <w:tcW w:w="0" w:type="auto"/>
            <w:shd w:val="clear" w:color="auto" w:fill="auto"/>
            <w:vAlign w:val="bottom"/>
          </w:tcPr>
          <w:p w14:paraId="3750E51C" w14:textId="77777777" w:rsidR="002541AD" w:rsidRDefault="002541AD">
            <w:pPr>
              <w:textAlignment w:val="bottom"/>
              <w:rPr>
                <w:rFonts w:ascii="Times New Roman" w:hAnsi="Times New Roman"/>
                <w:sz w:val="20"/>
                <w:szCs w:val="20"/>
              </w:rPr>
            </w:pPr>
          </w:p>
        </w:tc>
      </w:tr>
      <w:tr w:rsidR="002541AD" w14:paraId="3750E528" w14:textId="77777777">
        <w:tc>
          <w:tcPr>
            <w:tcW w:w="0" w:type="auto"/>
            <w:shd w:val="clear" w:color="auto" w:fill="auto"/>
            <w:tcMar>
              <w:top w:w="40" w:type="dxa"/>
              <w:left w:w="240" w:type="dxa"/>
              <w:bottom w:w="40" w:type="dxa"/>
              <w:right w:w="40" w:type="dxa"/>
            </w:tcMar>
          </w:tcPr>
          <w:p w14:paraId="3750E51E"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3.73%, due December 2047</w:t>
            </w:r>
          </w:p>
        </w:tc>
        <w:tc>
          <w:tcPr>
            <w:tcW w:w="0" w:type="auto"/>
            <w:shd w:val="clear" w:color="auto" w:fill="auto"/>
            <w:tcMar>
              <w:top w:w="40" w:type="dxa"/>
              <w:left w:w="40" w:type="dxa"/>
              <w:bottom w:w="40" w:type="dxa"/>
              <w:right w:w="40" w:type="dxa"/>
            </w:tcMar>
            <w:vAlign w:val="bottom"/>
          </w:tcPr>
          <w:p w14:paraId="3750E51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52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3.30</w:t>
            </w:r>
          </w:p>
        </w:tc>
        <w:tc>
          <w:tcPr>
            <w:tcW w:w="0" w:type="auto"/>
            <w:shd w:val="clear" w:color="auto" w:fill="auto"/>
            <w:tcMar>
              <w:top w:w="40" w:type="dxa"/>
              <w:bottom w:w="40" w:type="dxa"/>
              <w:right w:w="40" w:type="dxa"/>
            </w:tcMar>
            <w:vAlign w:val="bottom"/>
          </w:tcPr>
          <w:p w14:paraId="3750E521"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52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2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1,967</w:t>
            </w:r>
          </w:p>
        </w:tc>
        <w:tc>
          <w:tcPr>
            <w:tcW w:w="0" w:type="auto"/>
            <w:shd w:val="clear" w:color="auto" w:fill="auto"/>
            <w:vAlign w:val="bottom"/>
          </w:tcPr>
          <w:p w14:paraId="3750E52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52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2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1,967</w:t>
            </w:r>
          </w:p>
        </w:tc>
        <w:tc>
          <w:tcPr>
            <w:tcW w:w="0" w:type="auto"/>
            <w:shd w:val="clear" w:color="auto" w:fill="auto"/>
            <w:vAlign w:val="bottom"/>
          </w:tcPr>
          <w:p w14:paraId="3750E527" w14:textId="77777777" w:rsidR="002541AD" w:rsidRDefault="002541AD">
            <w:pPr>
              <w:textAlignment w:val="bottom"/>
              <w:rPr>
                <w:rFonts w:ascii="Times New Roman" w:hAnsi="Times New Roman"/>
                <w:sz w:val="20"/>
                <w:szCs w:val="20"/>
              </w:rPr>
            </w:pPr>
          </w:p>
        </w:tc>
      </w:tr>
      <w:tr w:rsidR="002541AD" w14:paraId="3750E533" w14:textId="77777777">
        <w:tc>
          <w:tcPr>
            <w:tcW w:w="0" w:type="auto"/>
            <w:shd w:val="clear" w:color="auto" w:fill="auto"/>
            <w:tcMar>
              <w:top w:w="40" w:type="dxa"/>
              <w:left w:w="240" w:type="dxa"/>
              <w:bottom w:w="40" w:type="dxa"/>
              <w:right w:w="40" w:type="dxa"/>
            </w:tcMar>
          </w:tcPr>
          <w:p w14:paraId="3750E529"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3.25%, due November 2049</w:t>
            </w:r>
          </w:p>
        </w:tc>
        <w:tc>
          <w:tcPr>
            <w:tcW w:w="0" w:type="auto"/>
            <w:shd w:val="clear" w:color="auto" w:fill="auto"/>
            <w:tcMar>
              <w:top w:w="40" w:type="dxa"/>
              <w:left w:w="40" w:type="dxa"/>
              <w:bottom w:w="40" w:type="dxa"/>
              <w:right w:w="40" w:type="dxa"/>
            </w:tcMar>
            <w:vAlign w:val="bottom"/>
          </w:tcPr>
          <w:p w14:paraId="3750E52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52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3.22</w:t>
            </w:r>
          </w:p>
        </w:tc>
        <w:tc>
          <w:tcPr>
            <w:tcW w:w="0" w:type="auto"/>
            <w:shd w:val="clear" w:color="auto" w:fill="auto"/>
            <w:tcMar>
              <w:top w:w="40" w:type="dxa"/>
              <w:bottom w:w="40" w:type="dxa"/>
              <w:right w:w="40" w:type="dxa"/>
            </w:tcMar>
            <w:vAlign w:val="bottom"/>
          </w:tcPr>
          <w:p w14:paraId="3750E52C"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52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2E"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2,000</w:t>
            </w:r>
          </w:p>
        </w:tc>
        <w:tc>
          <w:tcPr>
            <w:tcW w:w="0" w:type="auto"/>
            <w:shd w:val="clear" w:color="auto" w:fill="auto"/>
            <w:vAlign w:val="bottom"/>
          </w:tcPr>
          <w:p w14:paraId="3750E52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53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31"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1,500</w:t>
            </w:r>
          </w:p>
        </w:tc>
        <w:tc>
          <w:tcPr>
            <w:tcW w:w="0" w:type="auto"/>
            <w:shd w:val="clear" w:color="auto" w:fill="auto"/>
            <w:vAlign w:val="bottom"/>
          </w:tcPr>
          <w:p w14:paraId="3750E532" w14:textId="77777777" w:rsidR="002541AD" w:rsidRDefault="002541AD">
            <w:pPr>
              <w:textAlignment w:val="bottom"/>
              <w:rPr>
                <w:rFonts w:ascii="Times New Roman" w:hAnsi="Times New Roman"/>
                <w:sz w:val="20"/>
                <w:szCs w:val="20"/>
              </w:rPr>
            </w:pPr>
          </w:p>
        </w:tc>
      </w:tr>
      <w:tr w:rsidR="002541AD" w14:paraId="3750E53E" w14:textId="77777777">
        <w:tc>
          <w:tcPr>
            <w:tcW w:w="0" w:type="auto"/>
            <w:shd w:val="clear" w:color="auto" w:fill="auto"/>
            <w:tcMar>
              <w:top w:w="40" w:type="dxa"/>
              <w:left w:w="240" w:type="dxa"/>
              <w:bottom w:w="40" w:type="dxa"/>
              <w:right w:w="40" w:type="dxa"/>
            </w:tcMar>
          </w:tcPr>
          <w:p w14:paraId="3750E534"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4.75%, due March 2050</w:t>
            </w:r>
          </w:p>
        </w:tc>
        <w:tc>
          <w:tcPr>
            <w:tcW w:w="0" w:type="auto"/>
            <w:shd w:val="clear" w:color="auto" w:fill="auto"/>
            <w:tcMar>
              <w:top w:w="40" w:type="dxa"/>
              <w:left w:w="40" w:type="dxa"/>
              <w:bottom w:w="40" w:type="dxa"/>
              <w:right w:w="40" w:type="dxa"/>
            </w:tcMar>
            <w:vAlign w:val="bottom"/>
          </w:tcPr>
          <w:p w14:paraId="3750E53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53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4.77</w:t>
            </w:r>
          </w:p>
        </w:tc>
        <w:tc>
          <w:tcPr>
            <w:tcW w:w="0" w:type="auto"/>
            <w:shd w:val="clear" w:color="auto" w:fill="auto"/>
            <w:tcMar>
              <w:top w:w="40" w:type="dxa"/>
              <w:bottom w:w="40" w:type="dxa"/>
              <w:right w:w="40" w:type="dxa"/>
            </w:tcMar>
            <w:vAlign w:val="bottom"/>
          </w:tcPr>
          <w:p w14:paraId="3750E537"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53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3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2,250</w:t>
            </w:r>
          </w:p>
        </w:tc>
        <w:tc>
          <w:tcPr>
            <w:tcW w:w="0" w:type="auto"/>
            <w:shd w:val="clear" w:color="auto" w:fill="auto"/>
            <w:vAlign w:val="bottom"/>
          </w:tcPr>
          <w:p w14:paraId="3750E53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53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3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53D" w14:textId="77777777" w:rsidR="002541AD" w:rsidRDefault="002541AD">
            <w:pPr>
              <w:textAlignment w:val="bottom"/>
              <w:rPr>
                <w:rFonts w:ascii="Times New Roman" w:hAnsi="Times New Roman"/>
                <w:sz w:val="20"/>
                <w:szCs w:val="20"/>
              </w:rPr>
            </w:pPr>
          </w:p>
        </w:tc>
      </w:tr>
      <w:tr w:rsidR="002541AD" w14:paraId="3750E549" w14:textId="77777777">
        <w:tc>
          <w:tcPr>
            <w:tcW w:w="0" w:type="auto"/>
            <w:shd w:val="clear" w:color="auto" w:fill="auto"/>
            <w:tcMar>
              <w:top w:w="40" w:type="dxa"/>
              <w:left w:w="240" w:type="dxa"/>
              <w:bottom w:w="40" w:type="dxa"/>
              <w:right w:w="40" w:type="dxa"/>
            </w:tcMar>
          </w:tcPr>
          <w:p w14:paraId="3750E53F"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3.10%, due February 2060</w:t>
            </w:r>
          </w:p>
        </w:tc>
        <w:tc>
          <w:tcPr>
            <w:tcW w:w="0" w:type="auto"/>
            <w:shd w:val="clear" w:color="auto" w:fill="auto"/>
            <w:tcMar>
              <w:top w:w="40" w:type="dxa"/>
              <w:left w:w="40" w:type="dxa"/>
              <w:bottom w:w="40" w:type="dxa"/>
              <w:right w:w="40" w:type="dxa"/>
            </w:tcMar>
            <w:vAlign w:val="bottom"/>
          </w:tcPr>
          <w:p w14:paraId="3750E54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54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3.12</w:t>
            </w:r>
          </w:p>
        </w:tc>
        <w:tc>
          <w:tcPr>
            <w:tcW w:w="0" w:type="auto"/>
            <w:shd w:val="clear" w:color="auto" w:fill="auto"/>
            <w:tcMar>
              <w:top w:w="40" w:type="dxa"/>
              <w:bottom w:w="40" w:type="dxa"/>
              <w:right w:w="40" w:type="dxa"/>
            </w:tcMar>
            <w:vAlign w:val="bottom"/>
          </w:tcPr>
          <w:p w14:paraId="3750E542"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54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44"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1,000</w:t>
            </w:r>
          </w:p>
        </w:tc>
        <w:tc>
          <w:tcPr>
            <w:tcW w:w="0" w:type="auto"/>
            <w:shd w:val="clear" w:color="auto" w:fill="auto"/>
            <w:vAlign w:val="bottom"/>
          </w:tcPr>
          <w:p w14:paraId="3750E54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54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47"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548" w14:textId="77777777" w:rsidR="002541AD" w:rsidRDefault="002541AD">
            <w:pPr>
              <w:textAlignment w:val="bottom"/>
              <w:rPr>
                <w:rFonts w:ascii="Times New Roman" w:hAnsi="Times New Roman"/>
                <w:sz w:val="20"/>
                <w:szCs w:val="20"/>
              </w:rPr>
            </w:pPr>
          </w:p>
        </w:tc>
      </w:tr>
      <w:tr w:rsidR="002541AD" w14:paraId="3750E554" w14:textId="77777777">
        <w:tc>
          <w:tcPr>
            <w:tcW w:w="0" w:type="auto"/>
            <w:shd w:val="clear" w:color="auto" w:fill="auto"/>
            <w:tcMar>
              <w:top w:w="40" w:type="dxa"/>
              <w:left w:w="240" w:type="dxa"/>
              <w:bottom w:w="40" w:type="dxa"/>
              <w:right w:w="40" w:type="dxa"/>
            </w:tcMar>
          </w:tcPr>
          <w:p w14:paraId="3750E54A"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4.95%, due March 2060</w:t>
            </w:r>
          </w:p>
        </w:tc>
        <w:tc>
          <w:tcPr>
            <w:tcW w:w="0" w:type="auto"/>
            <w:shd w:val="clear" w:color="auto" w:fill="auto"/>
            <w:tcMar>
              <w:top w:w="40" w:type="dxa"/>
              <w:left w:w="40" w:type="dxa"/>
              <w:bottom w:w="40" w:type="dxa"/>
              <w:right w:w="40" w:type="dxa"/>
            </w:tcMar>
            <w:vAlign w:val="bottom"/>
          </w:tcPr>
          <w:p w14:paraId="3750E54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54C"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5.02</w:t>
            </w:r>
          </w:p>
        </w:tc>
        <w:tc>
          <w:tcPr>
            <w:tcW w:w="0" w:type="auto"/>
            <w:shd w:val="clear" w:color="auto" w:fill="auto"/>
            <w:tcMar>
              <w:top w:w="40" w:type="dxa"/>
              <w:bottom w:w="40" w:type="dxa"/>
              <w:right w:w="40" w:type="dxa"/>
            </w:tcMar>
            <w:vAlign w:val="bottom"/>
          </w:tcPr>
          <w:p w14:paraId="3750E54D"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54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4F"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1,000</w:t>
            </w:r>
          </w:p>
        </w:tc>
        <w:tc>
          <w:tcPr>
            <w:tcW w:w="0" w:type="auto"/>
            <w:shd w:val="clear" w:color="auto" w:fill="auto"/>
            <w:vAlign w:val="bottom"/>
          </w:tcPr>
          <w:p w14:paraId="3750E55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55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5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553" w14:textId="77777777" w:rsidR="002541AD" w:rsidRDefault="002541AD">
            <w:pPr>
              <w:textAlignment w:val="bottom"/>
              <w:rPr>
                <w:rFonts w:ascii="Times New Roman" w:hAnsi="Times New Roman"/>
                <w:sz w:val="20"/>
                <w:szCs w:val="20"/>
              </w:rPr>
            </w:pPr>
          </w:p>
        </w:tc>
      </w:tr>
      <w:tr w:rsidR="002541AD" w14:paraId="3750E55D" w14:textId="77777777">
        <w:tc>
          <w:tcPr>
            <w:tcW w:w="0" w:type="auto"/>
            <w:shd w:val="clear" w:color="auto" w:fill="auto"/>
            <w:tcMar>
              <w:top w:w="40" w:type="dxa"/>
              <w:left w:w="40" w:type="dxa"/>
              <w:bottom w:w="40" w:type="dxa"/>
              <w:right w:w="40" w:type="dxa"/>
            </w:tcMar>
          </w:tcPr>
          <w:p w14:paraId="3750E555"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Oregon and Arizona bonds:</w:t>
            </w:r>
          </w:p>
        </w:tc>
        <w:tc>
          <w:tcPr>
            <w:tcW w:w="0" w:type="auto"/>
            <w:shd w:val="clear" w:color="auto" w:fill="auto"/>
            <w:tcMar>
              <w:top w:w="40" w:type="dxa"/>
              <w:left w:w="40" w:type="dxa"/>
              <w:bottom w:w="40" w:type="dxa"/>
              <w:right w:w="40" w:type="dxa"/>
            </w:tcMar>
            <w:vAlign w:val="bottom"/>
          </w:tcPr>
          <w:p w14:paraId="3750E55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E55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55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59" w14:textId="77777777" w:rsidR="002541AD" w:rsidRDefault="002541AD">
            <w:pPr>
              <w:jc w:val="right"/>
              <w:textAlignment w:val="bottom"/>
              <w:rPr>
                <w:rFonts w:ascii="Times New Roman" w:hAnsi="Times New Roman"/>
                <w:sz w:val="18"/>
                <w:szCs w:val="18"/>
              </w:rPr>
            </w:pPr>
          </w:p>
        </w:tc>
        <w:tc>
          <w:tcPr>
            <w:tcW w:w="0" w:type="auto"/>
            <w:shd w:val="clear" w:color="auto" w:fill="auto"/>
            <w:vAlign w:val="bottom"/>
          </w:tcPr>
          <w:p w14:paraId="3750E55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55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55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568" w14:textId="77777777">
        <w:tc>
          <w:tcPr>
            <w:tcW w:w="0" w:type="auto"/>
            <w:shd w:val="clear" w:color="auto" w:fill="auto"/>
            <w:tcMar>
              <w:top w:w="40" w:type="dxa"/>
              <w:left w:w="240" w:type="dxa"/>
              <w:bottom w:w="40" w:type="dxa"/>
              <w:right w:w="40" w:type="dxa"/>
            </w:tcMar>
          </w:tcPr>
          <w:p w14:paraId="3750E55E"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2.40%-2.70%, due December 2035 - 2040</w:t>
            </w:r>
          </w:p>
        </w:tc>
        <w:tc>
          <w:tcPr>
            <w:tcW w:w="0" w:type="auto"/>
            <w:shd w:val="clear" w:color="auto" w:fill="auto"/>
            <w:tcMar>
              <w:top w:w="40" w:type="dxa"/>
              <w:left w:w="40" w:type="dxa"/>
              <w:bottom w:w="40" w:type="dxa"/>
              <w:right w:w="40" w:type="dxa"/>
            </w:tcMar>
            <w:vAlign w:val="bottom"/>
          </w:tcPr>
          <w:p w14:paraId="3750E55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56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2.49</w:t>
            </w:r>
          </w:p>
        </w:tc>
        <w:tc>
          <w:tcPr>
            <w:tcW w:w="0" w:type="auto"/>
            <w:shd w:val="clear" w:color="auto" w:fill="auto"/>
            <w:tcMar>
              <w:top w:w="40" w:type="dxa"/>
              <w:bottom w:w="40" w:type="dxa"/>
              <w:right w:w="40" w:type="dxa"/>
            </w:tcMar>
            <w:vAlign w:val="bottom"/>
          </w:tcPr>
          <w:p w14:paraId="3750E561"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56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6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423</w:t>
            </w:r>
          </w:p>
        </w:tc>
        <w:tc>
          <w:tcPr>
            <w:tcW w:w="0" w:type="auto"/>
            <w:shd w:val="clear" w:color="auto" w:fill="auto"/>
            <w:vAlign w:val="bottom"/>
          </w:tcPr>
          <w:p w14:paraId="3750E56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56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6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423</w:t>
            </w:r>
          </w:p>
        </w:tc>
        <w:tc>
          <w:tcPr>
            <w:tcW w:w="0" w:type="auto"/>
            <w:shd w:val="clear" w:color="auto" w:fill="auto"/>
            <w:vAlign w:val="bottom"/>
          </w:tcPr>
          <w:p w14:paraId="3750E567" w14:textId="77777777" w:rsidR="002541AD" w:rsidRDefault="002541AD">
            <w:pPr>
              <w:textAlignment w:val="bottom"/>
              <w:rPr>
                <w:rFonts w:ascii="Times New Roman" w:hAnsi="Times New Roman"/>
                <w:sz w:val="20"/>
                <w:szCs w:val="20"/>
              </w:rPr>
            </w:pPr>
          </w:p>
        </w:tc>
      </w:tr>
      <w:tr w:rsidR="002541AD" w14:paraId="3750E573" w14:textId="77777777">
        <w:tc>
          <w:tcPr>
            <w:tcW w:w="0" w:type="auto"/>
            <w:shd w:val="clear" w:color="auto" w:fill="auto"/>
            <w:tcMar>
              <w:top w:w="40" w:type="dxa"/>
              <w:left w:w="240" w:type="dxa"/>
              <w:bottom w:w="40" w:type="dxa"/>
              <w:right w:w="40" w:type="dxa"/>
            </w:tcMar>
          </w:tcPr>
          <w:p w14:paraId="3750E569"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5.00%, due March 2049</w:t>
            </w:r>
          </w:p>
        </w:tc>
        <w:tc>
          <w:tcPr>
            <w:tcW w:w="0" w:type="auto"/>
            <w:shd w:val="clear" w:color="auto" w:fill="auto"/>
            <w:tcMar>
              <w:top w:w="40" w:type="dxa"/>
              <w:left w:w="40" w:type="dxa"/>
              <w:bottom w:w="40" w:type="dxa"/>
              <w:right w:w="40" w:type="dxa"/>
            </w:tcMar>
            <w:vAlign w:val="bottom"/>
          </w:tcPr>
          <w:p w14:paraId="3750E56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56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2.11</w:t>
            </w:r>
          </w:p>
        </w:tc>
        <w:tc>
          <w:tcPr>
            <w:tcW w:w="0" w:type="auto"/>
            <w:shd w:val="clear" w:color="auto" w:fill="auto"/>
            <w:tcMar>
              <w:top w:w="40" w:type="dxa"/>
              <w:bottom w:w="40" w:type="dxa"/>
              <w:right w:w="40" w:type="dxa"/>
            </w:tcMar>
            <w:vAlign w:val="bottom"/>
          </w:tcPr>
          <w:p w14:paraId="3750E56C"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56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6E"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138</w:t>
            </w:r>
          </w:p>
        </w:tc>
        <w:tc>
          <w:tcPr>
            <w:tcW w:w="0" w:type="auto"/>
            <w:shd w:val="clear" w:color="auto" w:fill="auto"/>
            <w:vAlign w:val="bottom"/>
          </w:tcPr>
          <w:p w14:paraId="3750E56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57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71"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138</w:t>
            </w:r>
          </w:p>
        </w:tc>
        <w:tc>
          <w:tcPr>
            <w:tcW w:w="0" w:type="auto"/>
            <w:shd w:val="clear" w:color="auto" w:fill="auto"/>
            <w:vAlign w:val="bottom"/>
          </w:tcPr>
          <w:p w14:paraId="3750E572" w14:textId="77777777" w:rsidR="002541AD" w:rsidRDefault="002541AD">
            <w:pPr>
              <w:textAlignment w:val="bottom"/>
              <w:rPr>
                <w:rFonts w:ascii="Times New Roman" w:hAnsi="Times New Roman"/>
                <w:sz w:val="20"/>
                <w:szCs w:val="20"/>
              </w:rPr>
            </w:pPr>
          </w:p>
        </w:tc>
      </w:tr>
      <w:tr w:rsidR="002541AD" w14:paraId="3750E57E" w14:textId="77777777">
        <w:tc>
          <w:tcPr>
            <w:tcW w:w="0" w:type="auto"/>
            <w:shd w:val="clear" w:color="auto" w:fill="auto"/>
            <w:tcMar>
              <w:top w:w="40" w:type="dxa"/>
              <w:left w:w="240" w:type="dxa"/>
              <w:bottom w:w="40" w:type="dxa"/>
              <w:right w:w="40" w:type="dxa"/>
            </w:tcMar>
          </w:tcPr>
          <w:p w14:paraId="3750E574"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5.00%, due June 2049</w:t>
            </w:r>
          </w:p>
        </w:tc>
        <w:tc>
          <w:tcPr>
            <w:tcW w:w="0" w:type="auto"/>
            <w:shd w:val="clear" w:color="auto" w:fill="auto"/>
            <w:tcMar>
              <w:top w:w="40" w:type="dxa"/>
              <w:left w:w="40" w:type="dxa"/>
              <w:bottom w:w="40" w:type="dxa"/>
              <w:right w:w="40" w:type="dxa"/>
            </w:tcMar>
            <w:vAlign w:val="bottom"/>
          </w:tcPr>
          <w:p w14:paraId="3750E57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57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2.13</w:t>
            </w:r>
          </w:p>
        </w:tc>
        <w:tc>
          <w:tcPr>
            <w:tcW w:w="0" w:type="auto"/>
            <w:shd w:val="clear" w:color="auto" w:fill="auto"/>
            <w:tcMar>
              <w:top w:w="40" w:type="dxa"/>
              <w:bottom w:w="40" w:type="dxa"/>
              <w:right w:w="40" w:type="dxa"/>
            </w:tcMar>
            <w:vAlign w:val="bottom"/>
          </w:tcPr>
          <w:p w14:paraId="3750E577"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57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7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438</w:t>
            </w:r>
          </w:p>
        </w:tc>
        <w:tc>
          <w:tcPr>
            <w:tcW w:w="0" w:type="auto"/>
            <w:shd w:val="clear" w:color="auto" w:fill="auto"/>
            <w:vAlign w:val="bottom"/>
          </w:tcPr>
          <w:p w14:paraId="3750E57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57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7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438</w:t>
            </w:r>
          </w:p>
        </w:tc>
        <w:tc>
          <w:tcPr>
            <w:tcW w:w="0" w:type="auto"/>
            <w:shd w:val="clear" w:color="auto" w:fill="auto"/>
            <w:vAlign w:val="bottom"/>
          </w:tcPr>
          <w:p w14:paraId="3750E57D" w14:textId="77777777" w:rsidR="002541AD" w:rsidRDefault="002541AD">
            <w:pPr>
              <w:textAlignment w:val="bottom"/>
              <w:rPr>
                <w:rFonts w:ascii="Times New Roman" w:hAnsi="Times New Roman"/>
                <w:sz w:val="20"/>
                <w:szCs w:val="20"/>
              </w:rPr>
            </w:pPr>
          </w:p>
        </w:tc>
      </w:tr>
      <w:tr w:rsidR="002541AD" w14:paraId="3750E586" w14:textId="77777777">
        <w:tc>
          <w:tcPr>
            <w:tcW w:w="0" w:type="auto"/>
            <w:shd w:val="clear" w:color="auto" w:fill="auto"/>
            <w:tcMar>
              <w:top w:w="40" w:type="dxa"/>
              <w:left w:w="40" w:type="dxa"/>
              <w:bottom w:w="40" w:type="dxa"/>
              <w:right w:w="40" w:type="dxa"/>
            </w:tcMar>
          </w:tcPr>
          <w:p w14:paraId="3750E57F"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Junior Subordinated Convertible Debentures:</w:t>
            </w:r>
          </w:p>
        </w:tc>
        <w:tc>
          <w:tcPr>
            <w:tcW w:w="0" w:type="auto"/>
            <w:shd w:val="clear" w:color="auto" w:fill="auto"/>
            <w:tcMar>
              <w:top w:w="40" w:type="dxa"/>
              <w:left w:w="40" w:type="dxa"/>
              <w:bottom w:w="40" w:type="dxa"/>
              <w:right w:w="40" w:type="dxa"/>
            </w:tcMar>
            <w:vAlign w:val="bottom"/>
          </w:tcPr>
          <w:p w14:paraId="3750E58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E58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58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58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58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585" w14:textId="77777777" w:rsidR="002541AD" w:rsidRDefault="002541AD">
            <w:pPr>
              <w:textAlignment w:val="bottom"/>
              <w:rPr>
                <w:rFonts w:ascii="Times New Roman" w:hAnsi="Times New Roman"/>
                <w:sz w:val="18"/>
                <w:szCs w:val="18"/>
              </w:rPr>
            </w:pPr>
          </w:p>
        </w:tc>
      </w:tr>
      <w:tr w:rsidR="002541AD" w14:paraId="3750E591" w14:textId="77777777">
        <w:tc>
          <w:tcPr>
            <w:tcW w:w="0" w:type="auto"/>
            <w:shd w:val="clear" w:color="auto" w:fill="auto"/>
            <w:tcMar>
              <w:top w:w="40" w:type="dxa"/>
              <w:left w:w="240" w:type="dxa"/>
              <w:bottom w:w="40" w:type="dxa"/>
              <w:right w:w="40" w:type="dxa"/>
            </w:tcMar>
          </w:tcPr>
          <w:p w14:paraId="3750E587"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3.25%, due August 2039</w:t>
            </w:r>
          </w:p>
        </w:tc>
        <w:tc>
          <w:tcPr>
            <w:tcW w:w="0" w:type="auto"/>
            <w:shd w:val="clear" w:color="auto" w:fill="auto"/>
            <w:tcMar>
              <w:top w:w="40" w:type="dxa"/>
              <w:left w:w="40" w:type="dxa"/>
              <w:bottom w:w="40" w:type="dxa"/>
              <w:right w:w="40" w:type="dxa"/>
            </w:tcMar>
            <w:vAlign w:val="bottom"/>
          </w:tcPr>
          <w:p w14:paraId="3750E58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58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58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58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8C"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58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58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8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372</w:t>
            </w:r>
          </w:p>
        </w:tc>
        <w:tc>
          <w:tcPr>
            <w:tcW w:w="0" w:type="auto"/>
            <w:shd w:val="clear" w:color="auto" w:fill="auto"/>
            <w:vAlign w:val="bottom"/>
          </w:tcPr>
          <w:p w14:paraId="3750E590" w14:textId="77777777" w:rsidR="002541AD" w:rsidRDefault="002541AD">
            <w:pPr>
              <w:textAlignment w:val="bottom"/>
              <w:rPr>
                <w:rFonts w:ascii="Times New Roman" w:hAnsi="Times New Roman"/>
                <w:sz w:val="20"/>
                <w:szCs w:val="20"/>
              </w:rPr>
            </w:pPr>
          </w:p>
        </w:tc>
      </w:tr>
      <w:tr w:rsidR="002541AD" w14:paraId="3750E59B" w14:textId="77777777">
        <w:tc>
          <w:tcPr>
            <w:tcW w:w="0" w:type="auto"/>
            <w:shd w:val="clear" w:color="auto" w:fill="auto"/>
            <w:tcMar>
              <w:top w:w="40" w:type="dxa"/>
              <w:left w:w="40" w:type="dxa"/>
              <w:bottom w:w="40" w:type="dxa"/>
              <w:right w:w="40" w:type="dxa"/>
            </w:tcMar>
          </w:tcPr>
          <w:p w14:paraId="3750E592" w14:textId="77777777" w:rsidR="002541AD" w:rsidRDefault="00901AA6">
            <w:pPr>
              <w:textAlignment w:val="top"/>
              <w:rPr>
                <w:rFonts w:ascii="Times New Roman" w:hAnsi="Times New Roman"/>
                <w:sz w:val="18"/>
                <w:szCs w:val="18"/>
              </w:rPr>
            </w:pPr>
            <w:r>
              <w:rPr>
                <w:rFonts w:ascii="Arial" w:eastAsia="宋体" w:hAnsi="Arial" w:cs="Arial"/>
                <w:b/>
                <w:bCs/>
                <w:color w:val="333333"/>
                <w:sz w:val="18"/>
                <w:szCs w:val="18"/>
              </w:rPr>
              <w:t>Total Senior Notes and Other Borrowings</w:t>
            </w:r>
          </w:p>
        </w:tc>
        <w:tc>
          <w:tcPr>
            <w:tcW w:w="0" w:type="auto"/>
            <w:shd w:val="clear" w:color="auto" w:fill="auto"/>
            <w:tcMar>
              <w:top w:w="40" w:type="dxa"/>
              <w:left w:w="40" w:type="dxa"/>
              <w:bottom w:w="40" w:type="dxa"/>
              <w:right w:w="40" w:type="dxa"/>
            </w:tcMar>
            <w:vAlign w:val="bottom"/>
          </w:tcPr>
          <w:p w14:paraId="3750E59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E59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59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E596"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38,572</w:t>
            </w:r>
          </w:p>
        </w:tc>
        <w:tc>
          <w:tcPr>
            <w:tcW w:w="0" w:type="auto"/>
            <w:tcBorders>
              <w:top w:val="single" w:sz="8" w:space="0" w:color="333333"/>
              <w:bottom w:val="single" w:sz="8" w:space="0" w:color="333333"/>
            </w:tcBorders>
            <w:shd w:val="clear" w:color="auto" w:fill="auto"/>
            <w:vAlign w:val="bottom"/>
          </w:tcPr>
          <w:p w14:paraId="3750E59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59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E599"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28,751</w:t>
            </w:r>
          </w:p>
        </w:tc>
        <w:tc>
          <w:tcPr>
            <w:tcW w:w="0" w:type="auto"/>
            <w:tcBorders>
              <w:top w:val="single" w:sz="8" w:space="0" w:color="333333"/>
              <w:bottom w:val="single" w:sz="8" w:space="0" w:color="333333"/>
            </w:tcBorders>
            <w:shd w:val="clear" w:color="auto" w:fill="auto"/>
            <w:vAlign w:val="bottom"/>
          </w:tcPr>
          <w:p w14:paraId="3750E59A" w14:textId="77777777" w:rsidR="002541AD" w:rsidRDefault="002541AD">
            <w:pPr>
              <w:textAlignment w:val="bottom"/>
              <w:rPr>
                <w:rFonts w:ascii="Times New Roman" w:hAnsi="Times New Roman"/>
                <w:sz w:val="20"/>
                <w:szCs w:val="20"/>
              </w:rPr>
            </w:pPr>
          </w:p>
        </w:tc>
      </w:tr>
      <w:tr w:rsidR="002541AD" w14:paraId="3750E5A5" w14:textId="77777777">
        <w:tc>
          <w:tcPr>
            <w:tcW w:w="0" w:type="auto"/>
            <w:shd w:val="clear" w:color="auto" w:fill="auto"/>
            <w:tcMar>
              <w:top w:w="40" w:type="dxa"/>
              <w:left w:w="240" w:type="dxa"/>
              <w:bottom w:w="40" w:type="dxa"/>
              <w:right w:w="40" w:type="dxa"/>
            </w:tcMar>
            <w:vAlign w:val="bottom"/>
          </w:tcPr>
          <w:p w14:paraId="3750E59C"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Unamortized Premium/Discount and Issuance Costs</w:t>
            </w:r>
          </w:p>
        </w:tc>
        <w:tc>
          <w:tcPr>
            <w:tcW w:w="0" w:type="auto"/>
            <w:shd w:val="clear" w:color="auto" w:fill="auto"/>
            <w:tcMar>
              <w:top w:w="40" w:type="dxa"/>
              <w:left w:w="40" w:type="dxa"/>
              <w:bottom w:w="40" w:type="dxa"/>
              <w:right w:w="40" w:type="dxa"/>
            </w:tcMar>
            <w:vAlign w:val="bottom"/>
          </w:tcPr>
          <w:p w14:paraId="3750E59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E59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59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A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(379</w:t>
            </w:r>
          </w:p>
        </w:tc>
        <w:tc>
          <w:tcPr>
            <w:tcW w:w="0" w:type="auto"/>
            <w:shd w:val="clear" w:color="auto" w:fill="auto"/>
            <w:tcMar>
              <w:top w:w="40" w:type="dxa"/>
              <w:bottom w:w="40" w:type="dxa"/>
              <w:right w:w="40" w:type="dxa"/>
            </w:tcMar>
            <w:vAlign w:val="bottom"/>
          </w:tcPr>
          <w:p w14:paraId="3750E5A1"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5A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A3"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(529</w:t>
            </w:r>
          </w:p>
        </w:tc>
        <w:tc>
          <w:tcPr>
            <w:tcW w:w="0" w:type="auto"/>
            <w:shd w:val="clear" w:color="auto" w:fill="auto"/>
            <w:tcMar>
              <w:top w:w="40" w:type="dxa"/>
              <w:bottom w:w="40" w:type="dxa"/>
              <w:right w:w="40" w:type="dxa"/>
            </w:tcMar>
            <w:vAlign w:val="bottom"/>
          </w:tcPr>
          <w:p w14:paraId="3750E5A4"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E5AF" w14:textId="77777777">
        <w:tc>
          <w:tcPr>
            <w:tcW w:w="0" w:type="auto"/>
            <w:shd w:val="clear" w:color="auto" w:fill="auto"/>
            <w:tcMar>
              <w:top w:w="40" w:type="dxa"/>
              <w:left w:w="240" w:type="dxa"/>
              <w:bottom w:w="40" w:type="dxa"/>
              <w:right w:w="40" w:type="dxa"/>
            </w:tcMar>
            <w:vAlign w:val="bottom"/>
          </w:tcPr>
          <w:p w14:paraId="3750E5A6"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Hedge Accounting Fair Value Adjustments</w:t>
            </w:r>
          </w:p>
        </w:tc>
        <w:tc>
          <w:tcPr>
            <w:tcW w:w="0" w:type="auto"/>
            <w:shd w:val="clear" w:color="auto" w:fill="auto"/>
            <w:tcMar>
              <w:top w:w="40" w:type="dxa"/>
              <w:left w:w="40" w:type="dxa"/>
              <w:bottom w:w="40" w:type="dxa"/>
              <w:right w:w="40" w:type="dxa"/>
            </w:tcMar>
            <w:vAlign w:val="bottom"/>
          </w:tcPr>
          <w:p w14:paraId="3750E5A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E5A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5A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A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1,726</w:t>
            </w:r>
          </w:p>
        </w:tc>
        <w:tc>
          <w:tcPr>
            <w:tcW w:w="0" w:type="auto"/>
            <w:shd w:val="clear" w:color="auto" w:fill="auto"/>
            <w:vAlign w:val="bottom"/>
          </w:tcPr>
          <w:p w14:paraId="3750E5A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5A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AD"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781</w:t>
            </w:r>
          </w:p>
        </w:tc>
        <w:tc>
          <w:tcPr>
            <w:tcW w:w="0" w:type="auto"/>
            <w:shd w:val="clear" w:color="auto" w:fill="auto"/>
            <w:vAlign w:val="bottom"/>
          </w:tcPr>
          <w:p w14:paraId="3750E5AE" w14:textId="77777777" w:rsidR="002541AD" w:rsidRDefault="002541AD">
            <w:pPr>
              <w:textAlignment w:val="bottom"/>
              <w:rPr>
                <w:rFonts w:ascii="Times New Roman" w:hAnsi="Times New Roman"/>
                <w:sz w:val="20"/>
                <w:szCs w:val="20"/>
              </w:rPr>
            </w:pPr>
          </w:p>
        </w:tc>
      </w:tr>
      <w:tr w:rsidR="002541AD" w14:paraId="3750E5B9" w14:textId="77777777">
        <w:tc>
          <w:tcPr>
            <w:tcW w:w="0" w:type="auto"/>
            <w:shd w:val="clear" w:color="auto" w:fill="auto"/>
            <w:tcMar>
              <w:top w:w="40" w:type="dxa"/>
              <w:left w:w="40" w:type="dxa"/>
              <w:bottom w:w="40" w:type="dxa"/>
              <w:right w:w="40" w:type="dxa"/>
            </w:tcMar>
          </w:tcPr>
          <w:p w14:paraId="3750E5B0" w14:textId="77777777" w:rsidR="002541AD" w:rsidRDefault="00901AA6">
            <w:pPr>
              <w:textAlignment w:val="top"/>
              <w:rPr>
                <w:rFonts w:ascii="Times New Roman" w:hAnsi="Times New Roman"/>
                <w:sz w:val="18"/>
                <w:szCs w:val="18"/>
              </w:rPr>
            </w:pPr>
            <w:r>
              <w:rPr>
                <w:rFonts w:ascii="Arial" w:eastAsia="宋体" w:hAnsi="Arial" w:cs="Arial"/>
                <w:b/>
                <w:bCs/>
                <w:color w:val="333333"/>
                <w:sz w:val="18"/>
                <w:szCs w:val="18"/>
              </w:rPr>
              <w:t>Long-term debt</w:t>
            </w:r>
          </w:p>
        </w:tc>
        <w:tc>
          <w:tcPr>
            <w:tcW w:w="0" w:type="auto"/>
            <w:shd w:val="clear" w:color="auto" w:fill="auto"/>
            <w:tcMar>
              <w:top w:w="40" w:type="dxa"/>
              <w:left w:w="40" w:type="dxa"/>
              <w:bottom w:w="40" w:type="dxa"/>
              <w:right w:w="40" w:type="dxa"/>
            </w:tcMar>
            <w:vAlign w:val="bottom"/>
          </w:tcPr>
          <w:p w14:paraId="3750E5B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E5B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5B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E5B4"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39,919</w:t>
            </w:r>
          </w:p>
        </w:tc>
        <w:tc>
          <w:tcPr>
            <w:tcW w:w="0" w:type="auto"/>
            <w:tcBorders>
              <w:top w:val="single" w:sz="8" w:space="0" w:color="333333"/>
              <w:bottom w:val="single" w:sz="8" w:space="0" w:color="333333"/>
            </w:tcBorders>
            <w:shd w:val="clear" w:color="auto" w:fill="auto"/>
            <w:vAlign w:val="bottom"/>
          </w:tcPr>
          <w:p w14:paraId="3750E5B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5B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E5B7"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29,003</w:t>
            </w:r>
          </w:p>
        </w:tc>
        <w:tc>
          <w:tcPr>
            <w:tcW w:w="0" w:type="auto"/>
            <w:tcBorders>
              <w:top w:val="single" w:sz="8" w:space="0" w:color="333333"/>
              <w:bottom w:val="single" w:sz="8" w:space="0" w:color="333333"/>
            </w:tcBorders>
            <w:shd w:val="clear" w:color="auto" w:fill="auto"/>
            <w:vAlign w:val="bottom"/>
          </w:tcPr>
          <w:p w14:paraId="3750E5B8" w14:textId="77777777" w:rsidR="002541AD" w:rsidRDefault="002541AD">
            <w:pPr>
              <w:textAlignment w:val="bottom"/>
              <w:rPr>
                <w:rFonts w:ascii="Times New Roman" w:hAnsi="Times New Roman"/>
                <w:sz w:val="20"/>
                <w:szCs w:val="20"/>
              </w:rPr>
            </w:pPr>
          </w:p>
        </w:tc>
      </w:tr>
      <w:tr w:rsidR="002541AD" w14:paraId="3750E5C3" w14:textId="77777777">
        <w:tc>
          <w:tcPr>
            <w:tcW w:w="0" w:type="auto"/>
            <w:shd w:val="clear" w:color="auto" w:fill="auto"/>
            <w:tcMar>
              <w:top w:w="40" w:type="dxa"/>
              <w:left w:w="240" w:type="dxa"/>
              <w:bottom w:w="40" w:type="dxa"/>
              <w:right w:w="40" w:type="dxa"/>
            </w:tcMar>
          </w:tcPr>
          <w:p w14:paraId="3750E5BA"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Current portion of long-term debt</w:t>
            </w:r>
          </w:p>
        </w:tc>
        <w:tc>
          <w:tcPr>
            <w:tcW w:w="0" w:type="auto"/>
            <w:shd w:val="clear" w:color="auto" w:fill="auto"/>
            <w:tcMar>
              <w:top w:w="40" w:type="dxa"/>
              <w:left w:w="40" w:type="dxa"/>
              <w:bottom w:w="40" w:type="dxa"/>
              <w:right w:w="40" w:type="dxa"/>
            </w:tcMar>
            <w:vAlign w:val="bottom"/>
          </w:tcPr>
          <w:p w14:paraId="3750E5B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E5B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5B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BE"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(3,464</w:t>
            </w:r>
          </w:p>
        </w:tc>
        <w:tc>
          <w:tcPr>
            <w:tcW w:w="0" w:type="auto"/>
            <w:shd w:val="clear" w:color="auto" w:fill="auto"/>
            <w:tcMar>
              <w:top w:w="40" w:type="dxa"/>
              <w:bottom w:w="40" w:type="dxa"/>
              <w:right w:w="40" w:type="dxa"/>
            </w:tcMar>
            <w:vAlign w:val="bottom"/>
          </w:tcPr>
          <w:p w14:paraId="3750E5BF"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5C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5C1"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(3,695</w:t>
            </w:r>
          </w:p>
        </w:tc>
        <w:tc>
          <w:tcPr>
            <w:tcW w:w="0" w:type="auto"/>
            <w:shd w:val="clear" w:color="auto" w:fill="auto"/>
            <w:tcMar>
              <w:top w:w="40" w:type="dxa"/>
              <w:bottom w:w="40" w:type="dxa"/>
              <w:right w:w="40" w:type="dxa"/>
            </w:tcMar>
            <w:vAlign w:val="bottom"/>
          </w:tcPr>
          <w:p w14:paraId="3750E5C2"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E5CF" w14:textId="77777777">
        <w:tc>
          <w:tcPr>
            <w:tcW w:w="0" w:type="auto"/>
            <w:shd w:val="clear" w:color="auto" w:fill="auto"/>
            <w:tcMar>
              <w:top w:w="40" w:type="dxa"/>
              <w:left w:w="40" w:type="dxa"/>
              <w:bottom w:w="40" w:type="dxa"/>
              <w:right w:w="40" w:type="dxa"/>
            </w:tcMar>
          </w:tcPr>
          <w:p w14:paraId="3750E5C4" w14:textId="77777777" w:rsidR="002541AD" w:rsidRDefault="00901AA6">
            <w:pPr>
              <w:textAlignment w:val="top"/>
              <w:rPr>
                <w:rFonts w:ascii="Times New Roman" w:hAnsi="Times New Roman"/>
                <w:sz w:val="18"/>
                <w:szCs w:val="18"/>
              </w:rPr>
            </w:pPr>
            <w:r>
              <w:rPr>
                <w:rFonts w:ascii="Arial" w:eastAsia="宋体" w:hAnsi="Arial" w:cs="Arial"/>
                <w:b/>
                <w:bCs/>
                <w:color w:val="333333"/>
                <w:sz w:val="18"/>
                <w:szCs w:val="18"/>
              </w:rPr>
              <w:t>Total long-term debt</w:t>
            </w:r>
          </w:p>
        </w:tc>
        <w:tc>
          <w:tcPr>
            <w:tcW w:w="0" w:type="auto"/>
            <w:shd w:val="clear" w:color="auto" w:fill="auto"/>
            <w:tcMar>
              <w:top w:w="40" w:type="dxa"/>
              <w:left w:w="40" w:type="dxa"/>
              <w:bottom w:w="40" w:type="dxa"/>
              <w:right w:w="40" w:type="dxa"/>
            </w:tcMar>
            <w:vAlign w:val="bottom"/>
          </w:tcPr>
          <w:p w14:paraId="3750E5C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E5C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5C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5C8"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5C9"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36,455</w:t>
            </w:r>
          </w:p>
        </w:tc>
        <w:tc>
          <w:tcPr>
            <w:tcW w:w="0" w:type="auto"/>
            <w:tcBorders>
              <w:top w:val="single" w:sz="8" w:space="0" w:color="333333"/>
              <w:bottom w:val="double" w:sz="6" w:space="0" w:color="333333"/>
            </w:tcBorders>
            <w:shd w:val="clear" w:color="auto" w:fill="auto"/>
            <w:vAlign w:val="bottom"/>
          </w:tcPr>
          <w:p w14:paraId="3750E5C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5C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5CC"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5CD"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25,308</w:t>
            </w:r>
          </w:p>
        </w:tc>
        <w:tc>
          <w:tcPr>
            <w:tcW w:w="0" w:type="auto"/>
            <w:tcBorders>
              <w:top w:val="single" w:sz="8" w:space="0" w:color="333333"/>
              <w:bottom w:val="double" w:sz="6" w:space="0" w:color="333333"/>
            </w:tcBorders>
            <w:shd w:val="clear" w:color="auto" w:fill="auto"/>
            <w:vAlign w:val="bottom"/>
          </w:tcPr>
          <w:p w14:paraId="3750E5CE" w14:textId="77777777" w:rsidR="002541AD" w:rsidRDefault="002541AD">
            <w:pPr>
              <w:textAlignment w:val="bottom"/>
              <w:rPr>
                <w:rFonts w:ascii="Times New Roman" w:hAnsi="Times New Roman"/>
                <w:sz w:val="20"/>
                <w:szCs w:val="20"/>
              </w:rPr>
            </w:pPr>
          </w:p>
        </w:tc>
      </w:tr>
    </w:tbl>
    <w:p w14:paraId="3750E5D0" w14:textId="77777777" w:rsidR="002541AD" w:rsidRDefault="002541AD"/>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2541AD" w14:paraId="3750E5D3" w14:textId="77777777">
        <w:trPr>
          <w:tblCellSpacing w:w="0" w:type="dxa"/>
        </w:trPr>
        <w:tc>
          <w:tcPr>
            <w:tcW w:w="720" w:type="dxa"/>
            <w:shd w:val="clear" w:color="auto" w:fill="auto"/>
            <w:vAlign w:val="center"/>
          </w:tcPr>
          <w:p w14:paraId="3750E5D1" w14:textId="77777777" w:rsidR="002541AD" w:rsidRDefault="002541AD">
            <w:pPr>
              <w:rPr>
                <w:rFonts w:ascii="Times New Roman" w:hAnsi="Times New Roman"/>
                <w:sz w:val="20"/>
                <w:szCs w:val="20"/>
              </w:rPr>
            </w:pPr>
          </w:p>
        </w:tc>
        <w:tc>
          <w:tcPr>
            <w:tcW w:w="0" w:type="auto"/>
            <w:shd w:val="clear" w:color="auto" w:fill="auto"/>
            <w:vAlign w:val="center"/>
          </w:tcPr>
          <w:p w14:paraId="3750E5D2" w14:textId="77777777" w:rsidR="002541AD" w:rsidRDefault="002541AD">
            <w:pPr>
              <w:rPr>
                <w:rFonts w:ascii="Times New Roman" w:hAnsi="Times New Roman"/>
                <w:sz w:val="20"/>
                <w:szCs w:val="20"/>
              </w:rPr>
            </w:pPr>
          </w:p>
        </w:tc>
      </w:tr>
      <w:tr w:rsidR="002541AD" w14:paraId="3750E5D6" w14:textId="77777777">
        <w:trPr>
          <w:tblCellSpacing w:w="0" w:type="dxa"/>
        </w:trPr>
        <w:tc>
          <w:tcPr>
            <w:tcW w:w="0" w:type="auto"/>
            <w:shd w:val="clear" w:color="auto" w:fill="auto"/>
          </w:tcPr>
          <w:p w14:paraId="3750E5D4"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0"/>
                <w:szCs w:val="10"/>
              </w:rPr>
              <w:t>1</w:t>
            </w:r>
            <w:r>
              <w:rPr>
                <w:rFonts w:ascii="Arial" w:eastAsia="宋体" w:hAnsi="Arial" w:cs="Arial"/>
                <w:i/>
                <w:iCs/>
                <w:color w:val="333333"/>
                <w:sz w:val="16"/>
                <w:szCs w:val="16"/>
              </w:rPr>
              <w:t> </w:t>
            </w:r>
          </w:p>
        </w:tc>
        <w:tc>
          <w:tcPr>
            <w:tcW w:w="0" w:type="auto"/>
            <w:shd w:val="clear" w:color="auto" w:fill="auto"/>
          </w:tcPr>
          <w:p w14:paraId="3750E5D5"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6"/>
                <w:szCs w:val="16"/>
              </w:rPr>
              <w:t>To manage foreign currency risk associated with the Australian-dollar-denominated notes issued in 2015, we entered into currency interest rate swaps with an aggregate notional amount of $396 million, which effectively converted these notes to U.S.-dollar-d</w:t>
            </w:r>
            <w:r>
              <w:rPr>
                <w:rFonts w:ascii="Arial" w:eastAsia="宋体" w:hAnsi="Arial" w:cs="Arial"/>
                <w:i/>
                <w:iCs/>
                <w:color w:val="333333"/>
                <w:sz w:val="16"/>
                <w:szCs w:val="16"/>
              </w:rPr>
              <w:t xml:space="preserve">enominated notes. For further discussion on our currency interest rate swaps, see "Note 11: Derivative Financial Instruments." </w:t>
            </w:r>
          </w:p>
        </w:tc>
      </w:tr>
    </w:tbl>
    <w:p w14:paraId="3750E5D7"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E5D9" w14:textId="77777777">
        <w:tc>
          <w:tcPr>
            <w:tcW w:w="0" w:type="auto"/>
            <w:gridSpan w:val="3"/>
            <w:shd w:val="clear" w:color="auto" w:fill="auto"/>
            <w:vAlign w:val="center"/>
          </w:tcPr>
          <w:p w14:paraId="3750E5D8" w14:textId="77777777" w:rsidR="002541AD" w:rsidRDefault="002541AD">
            <w:pPr>
              <w:rPr>
                <w:rFonts w:ascii="Times New Roman" w:hAnsi="Times New Roman"/>
                <w:sz w:val="20"/>
                <w:szCs w:val="20"/>
              </w:rPr>
            </w:pPr>
          </w:p>
        </w:tc>
      </w:tr>
      <w:tr w:rsidR="002541AD" w14:paraId="3750E5DD" w14:textId="77777777">
        <w:tc>
          <w:tcPr>
            <w:tcW w:w="1550" w:type="pct"/>
            <w:shd w:val="clear" w:color="auto" w:fill="auto"/>
            <w:vAlign w:val="center"/>
          </w:tcPr>
          <w:p w14:paraId="3750E5DA" w14:textId="77777777" w:rsidR="002541AD" w:rsidRDefault="002541AD">
            <w:pPr>
              <w:rPr>
                <w:rFonts w:ascii="Times New Roman" w:hAnsi="Times New Roman"/>
                <w:sz w:val="20"/>
                <w:szCs w:val="20"/>
              </w:rPr>
            </w:pPr>
          </w:p>
        </w:tc>
        <w:tc>
          <w:tcPr>
            <w:tcW w:w="2200" w:type="pct"/>
            <w:shd w:val="clear" w:color="auto" w:fill="auto"/>
            <w:vAlign w:val="center"/>
          </w:tcPr>
          <w:p w14:paraId="3750E5DB" w14:textId="77777777" w:rsidR="002541AD" w:rsidRDefault="002541AD">
            <w:pPr>
              <w:rPr>
                <w:rFonts w:ascii="Times New Roman" w:hAnsi="Times New Roman"/>
                <w:sz w:val="20"/>
                <w:szCs w:val="20"/>
              </w:rPr>
            </w:pPr>
          </w:p>
        </w:tc>
        <w:tc>
          <w:tcPr>
            <w:tcW w:w="1250" w:type="pct"/>
            <w:shd w:val="clear" w:color="auto" w:fill="auto"/>
            <w:vAlign w:val="center"/>
          </w:tcPr>
          <w:p w14:paraId="3750E5DC" w14:textId="77777777" w:rsidR="002541AD" w:rsidRDefault="002541AD">
            <w:pPr>
              <w:rPr>
                <w:rFonts w:ascii="Times New Roman" w:hAnsi="Times New Roman"/>
                <w:sz w:val="20"/>
                <w:szCs w:val="20"/>
              </w:rPr>
            </w:pPr>
          </w:p>
        </w:tc>
      </w:tr>
      <w:tr w:rsidR="002541AD" w14:paraId="3750E5E1" w14:textId="77777777">
        <w:tc>
          <w:tcPr>
            <w:tcW w:w="0" w:type="auto"/>
            <w:tcBorders>
              <w:top w:val="single" w:sz="8" w:space="0" w:color="0071C5"/>
              <w:right w:val="single" w:sz="24" w:space="0" w:color="0071C5"/>
            </w:tcBorders>
            <w:shd w:val="clear" w:color="auto" w:fill="auto"/>
            <w:tcMar>
              <w:top w:w="40" w:type="dxa"/>
              <w:left w:w="40" w:type="dxa"/>
              <w:bottom w:w="40" w:type="dxa"/>
              <w:right w:w="40" w:type="dxa"/>
            </w:tcMar>
            <w:vAlign w:val="center"/>
          </w:tcPr>
          <w:p w14:paraId="3750E5DE"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71" wp14:editId="3750F872">
                  <wp:extent cx="304800" cy="304800"/>
                  <wp:effectExtent l="0" t="0" r="0" b="0"/>
                  <wp:docPr id="10" name="图片 73"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3"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5DF"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5E0"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17</w:t>
            </w:r>
          </w:p>
        </w:tc>
      </w:tr>
    </w:tbl>
    <w:p w14:paraId="3750E5E2" w14:textId="77777777" w:rsidR="002541AD" w:rsidRDefault="002541AD">
      <w:pPr>
        <w:spacing w:line="288" w:lineRule="auto"/>
        <w:rPr>
          <w:rFonts w:ascii="Times New Roman" w:hAnsi="Times New Roman"/>
          <w:sz w:val="18"/>
          <w:szCs w:val="18"/>
        </w:rPr>
      </w:pPr>
    </w:p>
    <w:p w14:paraId="3750E5E3" w14:textId="77777777" w:rsidR="002541AD" w:rsidRDefault="002541AD">
      <w:pPr>
        <w:spacing w:line="288" w:lineRule="auto"/>
        <w:rPr>
          <w:rFonts w:ascii="Times New Roman" w:hAnsi="Times New Roman"/>
          <w:sz w:val="18"/>
          <w:szCs w:val="18"/>
        </w:rPr>
      </w:pPr>
    </w:p>
    <w:p w14:paraId="3750E5E4" w14:textId="77777777" w:rsidR="002541AD" w:rsidRDefault="00901AA6">
      <w:r>
        <w:rPr>
          <w:rFonts w:ascii="Times New Roman" w:hAnsi="Times New Roman"/>
          <w:sz w:val="18"/>
          <w:szCs w:val="18"/>
        </w:rPr>
        <w:pict w14:anchorId="3750F873">
          <v:rect id="_x0000_i1043" style="width:415.3pt;height:1.5pt" o:hralign="center" o:hrstd="t" o:hr="t" fillcolor="#a0a0a0" stroked="f"/>
        </w:pict>
      </w:r>
    </w:p>
    <w:p w14:paraId="3750E5E5" w14:textId="77777777" w:rsidR="002541AD" w:rsidRDefault="00901AA6">
      <w:pPr>
        <w:spacing w:line="288" w:lineRule="auto"/>
        <w:jc w:val="right"/>
        <w:rPr>
          <w:rFonts w:ascii="Times New Roman" w:hAnsi="Times New Roman"/>
          <w:sz w:val="16"/>
          <w:szCs w:val="16"/>
        </w:rPr>
      </w:pPr>
      <w:hyperlink r:id="rId46" w:anchor="s2CABEAF4222C52B4A34547BF538A8C27" w:history="1">
        <w:r>
          <w:rPr>
            <w:rStyle w:val="a5"/>
            <w:rFonts w:ascii="Arial" w:eastAsia="宋体" w:hAnsi="Arial" w:cs="Arial"/>
            <w:b/>
            <w:bCs/>
            <w:sz w:val="16"/>
            <w:szCs w:val="16"/>
          </w:rPr>
          <w:t>Table of Contents</w:t>
        </w:r>
      </w:hyperlink>
    </w:p>
    <w:p w14:paraId="3750E5E6" w14:textId="77777777" w:rsidR="002541AD" w:rsidRDefault="002541AD">
      <w:pPr>
        <w:spacing w:line="288" w:lineRule="auto"/>
        <w:jc w:val="right"/>
        <w:rPr>
          <w:rFonts w:ascii="Times New Roman" w:hAnsi="Times New Roman"/>
          <w:sz w:val="18"/>
          <w:szCs w:val="18"/>
        </w:rPr>
      </w:pPr>
    </w:p>
    <w:p w14:paraId="3750E5E7" w14:textId="77777777" w:rsidR="002541AD" w:rsidRDefault="002541AD">
      <w:pPr>
        <w:rPr>
          <w:rFonts w:ascii="Times New Roman" w:hAnsi="Times New Roman"/>
          <w:sz w:val="20"/>
          <w:szCs w:val="20"/>
        </w:rPr>
      </w:pPr>
    </w:p>
    <w:p w14:paraId="3750E5E8"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In November 2019, we issued a notice of redemption for the </w:t>
      </w:r>
      <w:r>
        <w:rPr>
          <w:rFonts w:ascii="Arial" w:eastAsia="宋体" w:hAnsi="Arial" w:cs="Arial"/>
          <w:color w:val="333333"/>
          <w:sz w:val="18"/>
          <w:szCs w:val="18"/>
        </w:rPr>
        <w:t>remaining $372 million of 2009 Debentures with a redemption date of January 9, 2020. During the fourth quarter of 2019, the closing stock price conversion right condition of the 2009 Debentures continued to be met and therefore the debentures were converti</w:t>
      </w:r>
      <w:r>
        <w:rPr>
          <w:rFonts w:ascii="Arial" w:eastAsia="宋体" w:hAnsi="Arial" w:cs="Arial"/>
          <w:color w:val="333333"/>
          <w:sz w:val="18"/>
          <w:szCs w:val="18"/>
        </w:rPr>
        <w:t>ble at the option of the holders until January 6, 2020. All 2009 Debentures were either converted prior to January 6, 2020 or redeemed on the redemption date.</w:t>
      </w:r>
    </w:p>
    <w:p w14:paraId="3750E5E9"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In the first three months of 2020, we issued a total of $10.3 billion aggregate principal amount </w:t>
      </w:r>
      <w:r>
        <w:rPr>
          <w:rFonts w:ascii="Arial" w:eastAsia="宋体" w:hAnsi="Arial" w:cs="Arial"/>
          <w:color w:val="333333"/>
          <w:sz w:val="18"/>
          <w:szCs w:val="18"/>
        </w:rPr>
        <w:t>of senior notes. We intend to use the net proceeds from the offering for general corporate purposes, which may include refinancing outstanding debt, funding for working capital and capital expenditures, and repurchasing shares of our common stock. </w:t>
      </w:r>
    </w:p>
    <w:p w14:paraId="3750E5EA"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Our sen</w:t>
      </w:r>
      <w:r>
        <w:rPr>
          <w:rFonts w:ascii="Arial" w:eastAsia="宋体" w:hAnsi="Arial" w:cs="Arial"/>
          <w:color w:val="333333"/>
          <w:sz w:val="18"/>
          <w:szCs w:val="18"/>
        </w:rPr>
        <w:t>ior floating rate notes pay interest quarterly and our senior fixed rate notes pay interest semiannually. We may redeem the fixed rate notes prior to their maturity at our option at specified redemption prices and subject to certain restrictions. The oblig</w:t>
      </w:r>
      <w:r>
        <w:rPr>
          <w:rFonts w:ascii="Arial" w:eastAsia="宋体" w:hAnsi="Arial" w:cs="Arial"/>
          <w:color w:val="333333"/>
          <w:sz w:val="18"/>
          <w:szCs w:val="18"/>
        </w:rPr>
        <w:t>ations under the notes rank equally in right of payment with all of our other existing and future senior unsecured indebtedness and effectively rank junior to all liabilities of our subsidiaries.</w:t>
      </w:r>
    </w:p>
    <w:p w14:paraId="3750E5EB"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E5ED" w14:textId="77777777">
        <w:tc>
          <w:tcPr>
            <w:tcW w:w="0" w:type="auto"/>
            <w:gridSpan w:val="3"/>
            <w:shd w:val="clear" w:color="auto" w:fill="auto"/>
            <w:vAlign w:val="center"/>
          </w:tcPr>
          <w:p w14:paraId="3750E5EC" w14:textId="77777777" w:rsidR="002541AD" w:rsidRDefault="002541AD">
            <w:pPr>
              <w:rPr>
                <w:rFonts w:ascii="Times New Roman" w:hAnsi="Times New Roman"/>
                <w:sz w:val="20"/>
                <w:szCs w:val="20"/>
              </w:rPr>
            </w:pPr>
          </w:p>
        </w:tc>
      </w:tr>
      <w:tr w:rsidR="002541AD" w14:paraId="3750E5F1" w14:textId="77777777">
        <w:tc>
          <w:tcPr>
            <w:tcW w:w="1550" w:type="pct"/>
            <w:shd w:val="clear" w:color="auto" w:fill="auto"/>
            <w:vAlign w:val="center"/>
          </w:tcPr>
          <w:p w14:paraId="3750E5EE" w14:textId="77777777" w:rsidR="002541AD" w:rsidRDefault="002541AD">
            <w:pPr>
              <w:rPr>
                <w:rFonts w:ascii="Times New Roman" w:hAnsi="Times New Roman"/>
                <w:sz w:val="20"/>
                <w:szCs w:val="20"/>
              </w:rPr>
            </w:pPr>
          </w:p>
        </w:tc>
        <w:tc>
          <w:tcPr>
            <w:tcW w:w="2200" w:type="pct"/>
            <w:shd w:val="clear" w:color="auto" w:fill="auto"/>
            <w:vAlign w:val="center"/>
          </w:tcPr>
          <w:p w14:paraId="3750E5EF" w14:textId="77777777" w:rsidR="002541AD" w:rsidRDefault="002541AD">
            <w:pPr>
              <w:rPr>
                <w:rFonts w:ascii="Times New Roman" w:hAnsi="Times New Roman"/>
                <w:sz w:val="20"/>
                <w:szCs w:val="20"/>
              </w:rPr>
            </w:pPr>
          </w:p>
        </w:tc>
        <w:tc>
          <w:tcPr>
            <w:tcW w:w="1250" w:type="pct"/>
            <w:shd w:val="clear" w:color="auto" w:fill="auto"/>
            <w:vAlign w:val="center"/>
          </w:tcPr>
          <w:p w14:paraId="3750E5F0" w14:textId="77777777" w:rsidR="002541AD" w:rsidRDefault="002541AD">
            <w:pPr>
              <w:rPr>
                <w:rFonts w:ascii="Times New Roman" w:hAnsi="Times New Roman"/>
                <w:sz w:val="20"/>
                <w:szCs w:val="20"/>
              </w:rPr>
            </w:pPr>
          </w:p>
        </w:tc>
      </w:tr>
      <w:tr w:rsidR="002541AD" w14:paraId="3750E5F5" w14:textId="77777777">
        <w:tc>
          <w:tcPr>
            <w:tcW w:w="0" w:type="auto"/>
            <w:tcBorders>
              <w:top w:val="single" w:sz="8" w:space="0" w:color="0071C5"/>
              <w:right w:val="single" w:sz="24" w:space="0" w:color="0071C5"/>
            </w:tcBorders>
            <w:shd w:val="clear" w:color="auto" w:fill="auto"/>
            <w:tcMar>
              <w:top w:w="40" w:type="dxa"/>
              <w:left w:w="40" w:type="dxa"/>
              <w:bottom w:w="40" w:type="dxa"/>
              <w:right w:w="40" w:type="dxa"/>
            </w:tcMar>
            <w:vAlign w:val="center"/>
          </w:tcPr>
          <w:p w14:paraId="3750E5F2"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74" wp14:editId="3750F875">
                  <wp:extent cx="304800" cy="304800"/>
                  <wp:effectExtent l="0" t="0" r="0" b="0"/>
                  <wp:docPr id="98" name="图片 75"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75"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5F3"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5F4"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18</w:t>
            </w:r>
          </w:p>
        </w:tc>
      </w:tr>
    </w:tbl>
    <w:p w14:paraId="3750E5F6" w14:textId="77777777" w:rsidR="002541AD" w:rsidRDefault="002541AD">
      <w:pPr>
        <w:spacing w:line="288" w:lineRule="auto"/>
        <w:rPr>
          <w:rFonts w:ascii="Times New Roman" w:hAnsi="Times New Roman"/>
          <w:sz w:val="18"/>
          <w:szCs w:val="18"/>
        </w:rPr>
      </w:pPr>
    </w:p>
    <w:p w14:paraId="3750E5F7" w14:textId="77777777" w:rsidR="002541AD" w:rsidRDefault="002541AD">
      <w:pPr>
        <w:spacing w:line="288" w:lineRule="auto"/>
        <w:rPr>
          <w:rFonts w:ascii="Times New Roman" w:hAnsi="Times New Roman"/>
          <w:sz w:val="18"/>
          <w:szCs w:val="18"/>
        </w:rPr>
      </w:pPr>
    </w:p>
    <w:p w14:paraId="3750E5F8" w14:textId="77777777" w:rsidR="002541AD" w:rsidRDefault="00901AA6">
      <w:r>
        <w:rPr>
          <w:rFonts w:ascii="Times New Roman" w:hAnsi="Times New Roman"/>
          <w:sz w:val="18"/>
          <w:szCs w:val="18"/>
        </w:rPr>
        <w:pict w14:anchorId="3750F876">
          <v:rect id="_x0000_i1044" style="width:415.3pt;height:1.5pt" o:hralign="center" o:hrstd="t" o:hr="t" fillcolor="#a0a0a0" stroked="f"/>
        </w:pict>
      </w:r>
    </w:p>
    <w:p w14:paraId="3750E5F9" w14:textId="77777777" w:rsidR="002541AD" w:rsidRDefault="00901AA6">
      <w:pPr>
        <w:spacing w:line="288" w:lineRule="auto"/>
        <w:jc w:val="right"/>
        <w:rPr>
          <w:rFonts w:ascii="Times New Roman" w:hAnsi="Times New Roman"/>
          <w:sz w:val="16"/>
          <w:szCs w:val="16"/>
        </w:rPr>
      </w:pPr>
      <w:hyperlink r:id="rId47" w:anchor="s2CABEAF4222C52B4A34547BF538A8C27" w:history="1">
        <w:r>
          <w:rPr>
            <w:rStyle w:val="a5"/>
            <w:rFonts w:ascii="Arial" w:eastAsia="宋体" w:hAnsi="Arial" w:cs="Arial"/>
            <w:b/>
            <w:bCs/>
            <w:sz w:val="16"/>
            <w:szCs w:val="16"/>
          </w:rPr>
          <w:t>Table of Contents</w:t>
        </w:r>
      </w:hyperlink>
    </w:p>
    <w:p w14:paraId="3750E5FA" w14:textId="77777777" w:rsidR="002541AD" w:rsidRDefault="002541AD">
      <w:pPr>
        <w:spacing w:line="288" w:lineRule="auto"/>
        <w:jc w:val="right"/>
        <w:rPr>
          <w:rFonts w:ascii="Times New Roman" w:hAnsi="Times New Roman"/>
          <w:sz w:val="18"/>
          <w:szCs w:val="18"/>
        </w:rPr>
      </w:pPr>
    </w:p>
    <w:p w14:paraId="3750E5FB"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080"/>
        <w:gridCol w:w="7226"/>
      </w:tblGrid>
      <w:tr w:rsidR="002541AD" w14:paraId="3750E5FD" w14:textId="77777777">
        <w:tc>
          <w:tcPr>
            <w:tcW w:w="0" w:type="auto"/>
            <w:gridSpan w:val="2"/>
            <w:shd w:val="clear" w:color="auto" w:fill="auto"/>
            <w:vAlign w:val="center"/>
          </w:tcPr>
          <w:p w14:paraId="3750E5FC" w14:textId="77777777" w:rsidR="002541AD" w:rsidRDefault="002541AD">
            <w:pPr>
              <w:rPr>
                <w:rFonts w:ascii="Times New Roman" w:hAnsi="Times New Roman"/>
                <w:sz w:val="20"/>
                <w:szCs w:val="20"/>
              </w:rPr>
            </w:pPr>
          </w:p>
        </w:tc>
      </w:tr>
      <w:tr w:rsidR="002541AD" w14:paraId="3750E600" w14:textId="77777777">
        <w:tc>
          <w:tcPr>
            <w:tcW w:w="650" w:type="pct"/>
            <w:shd w:val="clear" w:color="auto" w:fill="auto"/>
            <w:vAlign w:val="center"/>
          </w:tcPr>
          <w:p w14:paraId="3750E5FE" w14:textId="77777777" w:rsidR="002541AD" w:rsidRDefault="002541AD">
            <w:pPr>
              <w:rPr>
                <w:rFonts w:ascii="Times New Roman" w:hAnsi="Times New Roman"/>
                <w:sz w:val="20"/>
                <w:szCs w:val="20"/>
              </w:rPr>
            </w:pPr>
          </w:p>
        </w:tc>
        <w:tc>
          <w:tcPr>
            <w:tcW w:w="4350" w:type="pct"/>
            <w:shd w:val="clear" w:color="auto" w:fill="auto"/>
            <w:vAlign w:val="center"/>
          </w:tcPr>
          <w:p w14:paraId="3750E5FF" w14:textId="77777777" w:rsidR="002541AD" w:rsidRDefault="002541AD">
            <w:pPr>
              <w:rPr>
                <w:rFonts w:ascii="Times New Roman" w:hAnsi="Times New Roman"/>
                <w:sz w:val="20"/>
                <w:szCs w:val="20"/>
              </w:rPr>
            </w:pPr>
          </w:p>
        </w:tc>
      </w:tr>
      <w:tr w:rsidR="002541AD" w14:paraId="3750E603"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3750E601"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9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E602" w14:textId="77777777" w:rsidR="002541AD" w:rsidRDefault="00901AA6">
            <w:pPr>
              <w:textAlignment w:val="bottom"/>
              <w:rPr>
                <w:rFonts w:ascii="Times New Roman" w:hAnsi="Times New Roman"/>
                <w:sz w:val="28"/>
                <w:szCs w:val="28"/>
              </w:rPr>
            </w:pPr>
            <w:r>
              <w:rPr>
                <w:rFonts w:ascii="Arial" w:eastAsia="宋体" w:hAnsi="Arial" w:cs="Arial"/>
                <w:b/>
                <w:bCs/>
                <w:color w:val="0071C5"/>
                <w:sz w:val="28"/>
                <w:szCs w:val="28"/>
              </w:rPr>
              <w:t>FAIR VALUE</w:t>
            </w:r>
          </w:p>
        </w:tc>
      </w:tr>
    </w:tbl>
    <w:p w14:paraId="3750E604" w14:textId="77777777" w:rsidR="002541AD" w:rsidRDefault="00901AA6">
      <w:pPr>
        <w:spacing w:line="288" w:lineRule="auto"/>
        <w:rPr>
          <w:rFonts w:ascii="Times New Roman" w:hAnsi="Times New Roman"/>
        </w:rPr>
      </w:pPr>
      <w:r>
        <w:rPr>
          <w:rFonts w:ascii="Arial" w:eastAsia="宋体" w:hAnsi="Arial" w:cs="Arial"/>
          <w:b/>
          <w:bCs/>
          <w:color w:val="0071C5"/>
        </w:rPr>
        <w:t xml:space="preserve">ASSETS AND LIABILITIES MEASURED AND </w:t>
      </w:r>
      <w:r>
        <w:rPr>
          <w:rFonts w:ascii="Arial" w:eastAsia="宋体" w:hAnsi="Arial" w:cs="Arial"/>
          <w:b/>
          <w:bCs/>
          <w:color w:val="0071C5"/>
        </w:rPr>
        <w:t>RECORDED AT FAIR VALUE ON A RECURRING BASIS</w:t>
      </w:r>
    </w:p>
    <w:tbl>
      <w:tblPr>
        <w:tblW w:w="5000" w:type="pct"/>
        <w:tblCellMar>
          <w:left w:w="0" w:type="dxa"/>
          <w:right w:w="0" w:type="dxa"/>
        </w:tblCellMar>
        <w:tblLook w:val="04A0" w:firstRow="1" w:lastRow="0" w:firstColumn="1" w:lastColumn="0" w:noHBand="0" w:noVBand="1"/>
      </w:tblPr>
      <w:tblGrid>
        <w:gridCol w:w="1470"/>
        <w:gridCol w:w="130"/>
        <w:gridCol w:w="142"/>
        <w:gridCol w:w="451"/>
        <w:gridCol w:w="90"/>
        <w:gridCol w:w="130"/>
        <w:gridCol w:w="141"/>
        <w:gridCol w:w="551"/>
        <w:gridCol w:w="90"/>
        <w:gridCol w:w="130"/>
        <w:gridCol w:w="142"/>
        <w:gridCol w:w="494"/>
        <w:gridCol w:w="99"/>
        <w:gridCol w:w="130"/>
        <w:gridCol w:w="141"/>
        <w:gridCol w:w="551"/>
        <w:gridCol w:w="6"/>
        <w:gridCol w:w="130"/>
        <w:gridCol w:w="142"/>
        <w:gridCol w:w="451"/>
        <w:gridCol w:w="90"/>
        <w:gridCol w:w="130"/>
        <w:gridCol w:w="141"/>
        <w:gridCol w:w="551"/>
        <w:gridCol w:w="90"/>
        <w:gridCol w:w="130"/>
        <w:gridCol w:w="142"/>
        <w:gridCol w:w="494"/>
        <w:gridCol w:w="99"/>
        <w:gridCol w:w="130"/>
        <w:gridCol w:w="141"/>
        <w:gridCol w:w="551"/>
        <w:gridCol w:w="6"/>
      </w:tblGrid>
      <w:tr w:rsidR="002541AD" w14:paraId="3750E606" w14:textId="77777777">
        <w:tc>
          <w:tcPr>
            <w:tcW w:w="0" w:type="auto"/>
            <w:gridSpan w:val="33"/>
            <w:shd w:val="clear" w:color="auto" w:fill="auto"/>
            <w:vAlign w:val="center"/>
          </w:tcPr>
          <w:p w14:paraId="3750E605" w14:textId="77777777" w:rsidR="002541AD" w:rsidRDefault="002541AD">
            <w:pPr>
              <w:rPr>
                <w:rFonts w:ascii="Times New Roman" w:hAnsi="Times New Roman"/>
                <w:sz w:val="20"/>
                <w:szCs w:val="20"/>
              </w:rPr>
            </w:pPr>
          </w:p>
        </w:tc>
      </w:tr>
      <w:tr w:rsidR="002541AD" w14:paraId="3750E628" w14:textId="77777777">
        <w:tc>
          <w:tcPr>
            <w:tcW w:w="1800" w:type="pct"/>
            <w:shd w:val="clear" w:color="auto" w:fill="auto"/>
            <w:vAlign w:val="center"/>
          </w:tcPr>
          <w:p w14:paraId="3750E607" w14:textId="77777777" w:rsidR="002541AD" w:rsidRDefault="002541AD">
            <w:pPr>
              <w:rPr>
                <w:rFonts w:ascii="Times New Roman" w:hAnsi="Times New Roman"/>
                <w:sz w:val="20"/>
                <w:szCs w:val="20"/>
              </w:rPr>
            </w:pPr>
          </w:p>
        </w:tc>
        <w:tc>
          <w:tcPr>
            <w:tcW w:w="50" w:type="pct"/>
            <w:shd w:val="clear" w:color="auto" w:fill="auto"/>
            <w:vAlign w:val="center"/>
          </w:tcPr>
          <w:p w14:paraId="3750E608" w14:textId="77777777" w:rsidR="002541AD" w:rsidRDefault="002541AD">
            <w:pPr>
              <w:rPr>
                <w:rFonts w:ascii="Times New Roman" w:hAnsi="Times New Roman"/>
                <w:sz w:val="20"/>
                <w:szCs w:val="20"/>
              </w:rPr>
            </w:pPr>
          </w:p>
        </w:tc>
        <w:tc>
          <w:tcPr>
            <w:tcW w:w="50" w:type="pct"/>
            <w:shd w:val="clear" w:color="auto" w:fill="auto"/>
            <w:vAlign w:val="center"/>
          </w:tcPr>
          <w:p w14:paraId="3750E609" w14:textId="77777777" w:rsidR="002541AD" w:rsidRDefault="002541AD">
            <w:pPr>
              <w:rPr>
                <w:rFonts w:ascii="Times New Roman" w:hAnsi="Times New Roman"/>
                <w:sz w:val="20"/>
                <w:szCs w:val="20"/>
              </w:rPr>
            </w:pPr>
          </w:p>
        </w:tc>
        <w:tc>
          <w:tcPr>
            <w:tcW w:w="250" w:type="pct"/>
            <w:shd w:val="clear" w:color="auto" w:fill="auto"/>
            <w:vAlign w:val="center"/>
          </w:tcPr>
          <w:p w14:paraId="3750E60A" w14:textId="77777777" w:rsidR="002541AD" w:rsidRDefault="002541AD">
            <w:pPr>
              <w:rPr>
                <w:rFonts w:ascii="Times New Roman" w:hAnsi="Times New Roman"/>
                <w:sz w:val="20"/>
                <w:szCs w:val="20"/>
              </w:rPr>
            </w:pPr>
          </w:p>
        </w:tc>
        <w:tc>
          <w:tcPr>
            <w:tcW w:w="50" w:type="pct"/>
            <w:shd w:val="clear" w:color="auto" w:fill="auto"/>
            <w:vAlign w:val="center"/>
          </w:tcPr>
          <w:p w14:paraId="3750E60B" w14:textId="77777777" w:rsidR="002541AD" w:rsidRDefault="002541AD">
            <w:pPr>
              <w:rPr>
                <w:rFonts w:ascii="Times New Roman" w:hAnsi="Times New Roman"/>
                <w:sz w:val="20"/>
                <w:szCs w:val="20"/>
              </w:rPr>
            </w:pPr>
          </w:p>
        </w:tc>
        <w:tc>
          <w:tcPr>
            <w:tcW w:w="50" w:type="pct"/>
            <w:shd w:val="clear" w:color="auto" w:fill="auto"/>
            <w:vAlign w:val="center"/>
          </w:tcPr>
          <w:p w14:paraId="3750E60C" w14:textId="77777777" w:rsidR="002541AD" w:rsidRDefault="002541AD">
            <w:pPr>
              <w:rPr>
                <w:rFonts w:ascii="Times New Roman" w:hAnsi="Times New Roman"/>
                <w:sz w:val="20"/>
                <w:szCs w:val="20"/>
              </w:rPr>
            </w:pPr>
          </w:p>
        </w:tc>
        <w:tc>
          <w:tcPr>
            <w:tcW w:w="50" w:type="pct"/>
            <w:shd w:val="clear" w:color="auto" w:fill="auto"/>
            <w:vAlign w:val="center"/>
          </w:tcPr>
          <w:p w14:paraId="3750E60D" w14:textId="77777777" w:rsidR="002541AD" w:rsidRDefault="002541AD">
            <w:pPr>
              <w:rPr>
                <w:rFonts w:ascii="Times New Roman" w:hAnsi="Times New Roman"/>
                <w:sz w:val="20"/>
                <w:szCs w:val="20"/>
              </w:rPr>
            </w:pPr>
          </w:p>
        </w:tc>
        <w:tc>
          <w:tcPr>
            <w:tcW w:w="250" w:type="pct"/>
            <w:shd w:val="clear" w:color="auto" w:fill="auto"/>
            <w:vAlign w:val="center"/>
          </w:tcPr>
          <w:p w14:paraId="3750E60E" w14:textId="77777777" w:rsidR="002541AD" w:rsidRDefault="002541AD">
            <w:pPr>
              <w:rPr>
                <w:rFonts w:ascii="Times New Roman" w:hAnsi="Times New Roman"/>
                <w:sz w:val="20"/>
                <w:szCs w:val="20"/>
              </w:rPr>
            </w:pPr>
          </w:p>
        </w:tc>
        <w:tc>
          <w:tcPr>
            <w:tcW w:w="50" w:type="pct"/>
            <w:shd w:val="clear" w:color="auto" w:fill="auto"/>
            <w:vAlign w:val="center"/>
          </w:tcPr>
          <w:p w14:paraId="3750E60F" w14:textId="77777777" w:rsidR="002541AD" w:rsidRDefault="002541AD">
            <w:pPr>
              <w:rPr>
                <w:rFonts w:ascii="Times New Roman" w:hAnsi="Times New Roman"/>
                <w:sz w:val="20"/>
                <w:szCs w:val="20"/>
              </w:rPr>
            </w:pPr>
          </w:p>
        </w:tc>
        <w:tc>
          <w:tcPr>
            <w:tcW w:w="50" w:type="pct"/>
            <w:shd w:val="clear" w:color="auto" w:fill="auto"/>
            <w:vAlign w:val="center"/>
          </w:tcPr>
          <w:p w14:paraId="3750E610" w14:textId="77777777" w:rsidR="002541AD" w:rsidRDefault="002541AD">
            <w:pPr>
              <w:rPr>
                <w:rFonts w:ascii="Times New Roman" w:hAnsi="Times New Roman"/>
                <w:sz w:val="20"/>
                <w:szCs w:val="20"/>
              </w:rPr>
            </w:pPr>
          </w:p>
        </w:tc>
        <w:tc>
          <w:tcPr>
            <w:tcW w:w="50" w:type="pct"/>
            <w:shd w:val="clear" w:color="auto" w:fill="auto"/>
            <w:vAlign w:val="center"/>
          </w:tcPr>
          <w:p w14:paraId="3750E611" w14:textId="77777777" w:rsidR="002541AD" w:rsidRDefault="002541AD">
            <w:pPr>
              <w:rPr>
                <w:rFonts w:ascii="Times New Roman" w:hAnsi="Times New Roman"/>
                <w:sz w:val="20"/>
                <w:szCs w:val="20"/>
              </w:rPr>
            </w:pPr>
          </w:p>
        </w:tc>
        <w:tc>
          <w:tcPr>
            <w:tcW w:w="250" w:type="pct"/>
            <w:shd w:val="clear" w:color="auto" w:fill="auto"/>
            <w:vAlign w:val="center"/>
          </w:tcPr>
          <w:p w14:paraId="3750E612" w14:textId="77777777" w:rsidR="002541AD" w:rsidRDefault="002541AD">
            <w:pPr>
              <w:rPr>
                <w:rFonts w:ascii="Times New Roman" w:hAnsi="Times New Roman"/>
                <w:sz w:val="20"/>
                <w:szCs w:val="20"/>
              </w:rPr>
            </w:pPr>
          </w:p>
        </w:tc>
        <w:tc>
          <w:tcPr>
            <w:tcW w:w="50" w:type="pct"/>
            <w:shd w:val="clear" w:color="auto" w:fill="auto"/>
            <w:vAlign w:val="center"/>
          </w:tcPr>
          <w:p w14:paraId="3750E613" w14:textId="77777777" w:rsidR="002541AD" w:rsidRDefault="002541AD">
            <w:pPr>
              <w:rPr>
                <w:rFonts w:ascii="Times New Roman" w:hAnsi="Times New Roman"/>
                <w:sz w:val="20"/>
                <w:szCs w:val="20"/>
              </w:rPr>
            </w:pPr>
          </w:p>
        </w:tc>
        <w:tc>
          <w:tcPr>
            <w:tcW w:w="50" w:type="pct"/>
            <w:shd w:val="clear" w:color="auto" w:fill="auto"/>
            <w:vAlign w:val="center"/>
          </w:tcPr>
          <w:p w14:paraId="3750E614" w14:textId="77777777" w:rsidR="002541AD" w:rsidRDefault="002541AD">
            <w:pPr>
              <w:rPr>
                <w:rFonts w:ascii="Times New Roman" w:hAnsi="Times New Roman"/>
                <w:sz w:val="20"/>
                <w:szCs w:val="20"/>
              </w:rPr>
            </w:pPr>
          </w:p>
        </w:tc>
        <w:tc>
          <w:tcPr>
            <w:tcW w:w="50" w:type="pct"/>
            <w:shd w:val="clear" w:color="auto" w:fill="auto"/>
            <w:vAlign w:val="center"/>
          </w:tcPr>
          <w:p w14:paraId="3750E615" w14:textId="77777777" w:rsidR="002541AD" w:rsidRDefault="002541AD">
            <w:pPr>
              <w:rPr>
                <w:rFonts w:ascii="Times New Roman" w:hAnsi="Times New Roman"/>
                <w:sz w:val="20"/>
                <w:szCs w:val="20"/>
              </w:rPr>
            </w:pPr>
          </w:p>
        </w:tc>
        <w:tc>
          <w:tcPr>
            <w:tcW w:w="250" w:type="pct"/>
            <w:shd w:val="clear" w:color="auto" w:fill="auto"/>
            <w:vAlign w:val="center"/>
          </w:tcPr>
          <w:p w14:paraId="3750E616" w14:textId="77777777" w:rsidR="002541AD" w:rsidRDefault="002541AD">
            <w:pPr>
              <w:rPr>
                <w:rFonts w:ascii="Times New Roman" w:hAnsi="Times New Roman"/>
                <w:sz w:val="20"/>
                <w:szCs w:val="20"/>
              </w:rPr>
            </w:pPr>
          </w:p>
        </w:tc>
        <w:tc>
          <w:tcPr>
            <w:tcW w:w="50" w:type="pct"/>
            <w:shd w:val="clear" w:color="auto" w:fill="auto"/>
            <w:vAlign w:val="center"/>
          </w:tcPr>
          <w:p w14:paraId="3750E617" w14:textId="77777777" w:rsidR="002541AD" w:rsidRDefault="002541AD">
            <w:pPr>
              <w:rPr>
                <w:rFonts w:ascii="Times New Roman" w:hAnsi="Times New Roman"/>
                <w:sz w:val="20"/>
                <w:szCs w:val="20"/>
              </w:rPr>
            </w:pPr>
          </w:p>
        </w:tc>
        <w:tc>
          <w:tcPr>
            <w:tcW w:w="50" w:type="pct"/>
            <w:shd w:val="clear" w:color="auto" w:fill="auto"/>
            <w:vAlign w:val="center"/>
          </w:tcPr>
          <w:p w14:paraId="3750E618" w14:textId="77777777" w:rsidR="002541AD" w:rsidRDefault="002541AD">
            <w:pPr>
              <w:rPr>
                <w:rFonts w:ascii="Times New Roman" w:hAnsi="Times New Roman"/>
                <w:sz w:val="20"/>
                <w:szCs w:val="20"/>
              </w:rPr>
            </w:pPr>
          </w:p>
        </w:tc>
        <w:tc>
          <w:tcPr>
            <w:tcW w:w="50" w:type="pct"/>
            <w:shd w:val="clear" w:color="auto" w:fill="auto"/>
            <w:vAlign w:val="center"/>
          </w:tcPr>
          <w:p w14:paraId="3750E619" w14:textId="77777777" w:rsidR="002541AD" w:rsidRDefault="002541AD">
            <w:pPr>
              <w:rPr>
                <w:rFonts w:ascii="Times New Roman" w:hAnsi="Times New Roman"/>
                <w:sz w:val="20"/>
                <w:szCs w:val="20"/>
              </w:rPr>
            </w:pPr>
          </w:p>
        </w:tc>
        <w:tc>
          <w:tcPr>
            <w:tcW w:w="250" w:type="pct"/>
            <w:shd w:val="clear" w:color="auto" w:fill="auto"/>
            <w:vAlign w:val="center"/>
          </w:tcPr>
          <w:p w14:paraId="3750E61A" w14:textId="77777777" w:rsidR="002541AD" w:rsidRDefault="002541AD">
            <w:pPr>
              <w:rPr>
                <w:rFonts w:ascii="Times New Roman" w:hAnsi="Times New Roman"/>
                <w:sz w:val="20"/>
                <w:szCs w:val="20"/>
              </w:rPr>
            </w:pPr>
          </w:p>
        </w:tc>
        <w:tc>
          <w:tcPr>
            <w:tcW w:w="50" w:type="pct"/>
            <w:shd w:val="clear" w:color="auto" w:fill="auto"/>
            <w:vAlign w:val="center"/>
          </w:tcPr>
          <w:p w14:paraId="3750E61B" w14:textId="77777777" w:rsidR="002541AD" w:rsidRDefault="002541AD">
            <w:pPr>
              <w:rPr>
                <w:rFonts w:ascii="Times New Roman" w:hAnsi="Times New Roman"/>
                <w:sz w:val="20"/>
                <w:szCs w:val="20"/>
              </w:rPr>
            </w:pPr>
          </w:p>
        </w:tc>
        <w:tc>
          <w:tcPr>
            <w:tcW w:w="50" w:type="pct"/>
            <w:shd w:val="clear" w:color="auto" w:fill="auto"/>
            <w:vAlign w:val="center"/>
          </w:tcPr>
          <w:p w14:paraId="3750E61C" w14:textId="77777777" w:rsidR="002541AD" w:rsidRDefault="002541AD">
            <w:pPr>
              <w:rPr>
                <w:rFonts w:ascii="Times New Roman" w:hAnsi="Times New Roman"/>
                <w:sz w:val="20"/>
                <w:szCs w:val="20"/>
              </w:rPr>
            </w:pPr>
          </w:p>
        </w:tc>
        <w:tc>
          <w:tcPr>
            <w:tcW w:w="50" w:type="pct"/>
            <w:shd w:val="clear" w:color="auto" w:fill="auto"/>
            <w:vAlign w:val="center"/>
          </w:tcPr>
          <w:p w14:paraId="3750E61D" w14:textId="77777777" w:rsidR="002541AD" w:rsidRDefault="002541AD">
            <w:pPr>
              <w:rPr>
                <w:rFonts w:ascii="Times New Roman" w:hAnsi="Times New Roman"/>
                <w:sz w:val="20"/>
                <w:szCs w:val="20"/>
              </w:rPr>
            </w:pPr>
          </w:p>
        </w:tc>
        <w:tc>
          <w:tcPr>
            <w:tcW w:w="250" w:type="pct"/>
            <w:shd w:val="clear" w:color="auto" w:fill="auto"/>
            <w:vAlign w:val="center"/>
          </w:tcPr>
          <w:p w14:paraId="3750E61E" w14:textId="77777777" w:rsidR="002541AD" w:rsidRDefault="002541AD">
            <w:pPr>
              <w:rPr>
                <w:rFonts w:ascii="Times New Roman" w:hAnsi="Times New Roman"/>
                <w:sz w:val="20"/>
                <w:szCs w:val="20"/>
              </w:rPr>
            </w:pPr>
          </w:p>
        </w:tc>
        <w:tc>
          <w:tcPr>
            <w:tcW w:w="50" w:type="pct"/>
            <w:shd w:val="clear" w:color="auto" w:fill="auto"/>
            <w:vAlign w:val="center"/>
          </w:tcPr>
          <w:p w14:paraId="3750E61F" w14:textId="77777777" w:rsidR="002541AD" w:rsidRDefault="002541AD">
            <w:pPr>
              <w:rPr>
                <w:rFonts w:ascii="Times New Roman" w:hAnsi="Times New Roman"/>
                <w:sz w:val="20"/>
                <w:szCs w:val="20"/>
              </w:rPr>
            </w:pPr>
          </w:p>
        </w:tc>
        <w:tc>
          <w:tcPr>
            <w:tcW w:w="50" w:type="pct"/>
            <w:shd w:val="clear" w:color="auto" w:fill="auto"/>
            <w:vAlign w:val="center"/>
          </w:tcPr>
          <w:p w14:paraId="3750E620" w14:textId="77777777" w:rsidR="002541AD" w:rsidRDefault="002541AD">
            <w:pPr>
              <w:rPr>
                <w:rFonts w:ascii="Times New Roman" w:hAnsi="Times New Roman"/>
                <w:sz w:val="20"/>
                <w:szCs w:val="20"/>
              </w:rPr>
            </w:pPr>
          </w:p>
        </w:tc>
        <w:tc>
          <w:tcPr>
            <w:tcW w:w="50" w:type="pct"/>
            <w:shd w:val="clear" w:color="auto" w:fill="auto"/>
            <w:vAlign w:val="center"/>
          </w:tcPr>
          <w:p w14:paraId="3750E621" w14:textId="77777777" w:rsidR="002541AD" w:rsidRDefault="002541AD">
            <w:pPr>
              <w:rPr>
                <w:rFonts w:ascii="Times New Roman" w:hAnsi="Times New Roman"/>
                <w:sz w:val="20"/>
                <w:szCs w:val="20"/>
              </w:rPr>
            </w:pPr>
          </w:p>
        </w:tc>
        <w:tc>
          <w:tcPr>
            <w:tcW w:w="250" w:type="pct"/>
            <w:shd w:val="clear" w:color="auto" w:fill="auto"/>
            <w:vAlign w:val="center"/>
          </w:tcPr>
          <w:p w14:paraId="3750E622" w14:textId="77777777" w:rsidR="002541AD" w:rsidRDefault="002541AD">
            <w:pPr>
              <w:rPr>
                <w:rFonts w:ascii="Times New Roman" w:hAnsi="Times New Roman"/>
                <w:sz w:val="20"/>
                <w:szCs w:val="20"/>
              </w:rPr>
            </w:pPr>
          </w:p>
        </w:tc>
        <w:tc>
          <w:tcPr>
            <w:tcW w:w="50" w:type="pct"/>
            <w:shd w:val="clear" w:color="auto" w:fill="auto"/>
            <w:vAlign w:val="center"/>
          </w:tcPr>
          <w:p w14:paraId="3750E623" w14:textId="77777777" w:rsidR="002541AD" w:rsidRDefault="002541AD">
            <w:pPr>
              <w:rPr>
                <w:rFonts w:ascii="Times New Roman" w:hAnsi="Times New Roman"/>
                <w:sz w:val="20"/>
                <w:szCs w:val="20"/>
              </w:rPr>
            </w:pPr>
          </w:p>
        </w:tc>
        <w:tc>
          <w:tcPr>
            <w:tcW w:w="50" w:type="pct"/>
            <w:shd w:val="clear" w:color="auto" w:fill="auto"/>
            <w:vAlign w:val="center"/>
          </w:tcPr>
          <w:p w14:paraId="3750E624" w14:textId="77777777" w:rsidR="002541AD" w:rsidRDefault="002541AD">
            <w:pPr>
              <w:rPr>
                <w:rFonts w:ascii="Times New Roman" w:hAnsi="Times New Roman"/>
                <w:sz w:val="20"/>
                <w:szCs w:val="20"/>
              </w:rPr>
            </w:pPr>
          </w:p>
        </w:tc>
        <w:tc>
          <w:tcPr>
            <w:tcW w:w="50" w:type="pct"/>
            <w:shd w:val="clear" w:color="auto" w:fill="auto"/>
            <w:vAlign w:val="center"/>
          </w:tcPr>
          <w:p w14:paraId="3750E625" w14:textId="77777777" w:rsidR="002541AD" w:rsidRDefault="002541AD">
            <w:pPr>
              <w:rPr>
                <w:rFonts w:ascii="Times New Roman" w:hAnsi="Times New Roman"/>
                <w:sz w:val="20"/>
                <w:szCs w:val="20"/>
              </w:rPr>
            </w:pPr>
          </w:p>
        </w:tc>
        <w:tc>
          <w:tcPr>
            <w:tcW w:w="250" w:type="pct"/>
            <w:shd w:val="clear" w:color="auto" w:fill="auto"/>
            <w:vAlign w:val="center"/>
          </w:tcPr>
          <w:p w14:paraId="3750E626" w14:textId="77777777" w:rsidR="002541AD" w:rsidRDefault="002541AD">
            <w:pPr>
              <w:rPr>
                <w:rFonts w:ascii="Times New Roman" w:hAnsi="Times New Roman"/>
                <w:sz w:val="20"/>
                <w:szCs w:val="20"/>
              </w:rPr>
            </w:pPr>
          </w:p>
        </w:tc>
        <w:tc>
          <w:tcPr>
            <w:tcW w:w="50" w:type="pct"/>
            <w:shd w:val="clear" w:color="auto" w:fill="auto"/>
            <w:vAlign w:val="center"/>
          </w:tcPr>
          <w:p w14:paraId="3750E627" w14:textId="77777777" w:rsidR="002541AD" w:rsidRDefault="002541AD">
            <w:pPr>
              <w:rPr>
                <w:rFonts w:ascii="Times New Roman" w:hAnsi="Times New Roman"/>
                <w:sz w:val="20"/>
                <w:szCs w:val="20"/>
              </w:rPr>
            </w:pPr>
          </w:p>
        </w:tc>
      </w:tr>
      <w:tr w:rsidR="002541AD" w14:paraId="3750E62E" w14:textId="77777777">
        <w:tc>
          <w:tcPr>
            <w:tcW w:w="0" w:type="auto"/>
            <w:shd w:val="clear" w:color="auto" w:fill="auto"/>
            <w:tcMar>
              <w:top w:w="40" w:type="dxa"/>
              <w:left w:w="40" w:type="dxa"/>
              <w:bottom w:w="40" w:type="dxa"/>
              <w:right w:w="40" w:type="dxa"/>
            </w:tcMar>
            <w:vAlign w:val="bottom"/>
          </w:tcPr>
          <w:p w14:paraId="3750E62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2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71C5"/>
            </w:tcBorders>
            <w:shd w:val="clear" w:color="auto" w:fill="auto"/>
            <w:tcMar>
              <w:top w:w="40" w:type="dxa"/>
              <w:left w:w="40" w:type="dxa"/>
              <w:bottom w:w="40" w:type="dxa"/>
            </w:tcMar>
            <w:vAlign w:val="bottom"/>
          </w:tcPr>
          <w:p w14:paraId="3750E62B"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March 28, 2020</w:t>
            </w:r>
          </w:p>
        </w:tc>
        <w:tc>
          <w:tcPr>
            <w:tcW w:w="0" w:type="auto"/>
            <w:shd w:val="clear" w:color="auto" w:fill="auto"/>
            <w:tcMar>
              <w:top w:w="40" w:type="dxa"/>
              <w:left w:w="40" w:type="dxa"/>
              <w:bottom w:w="40" w:type="dxa"/>
              <w:right w:w="40" w:type="dxa"/>
            </w:tcMar>
            <w:vAlign w:val="bottom"/>
          </w:tcPr>
          <w:p w14:paraId="3750E62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71C5"/>
            </w:tcBorders>
            <w:shd w:val="clear" w:color="auto" w:fill="auto"/>
            <w:tcMar>
              <w:top w:w="40" w:type="dxa"/>
              <w:left w:w="40" w:type="dxa"/>
              <w:bottom w:w="40" w:type="dxa"/>
            </w:tcMar>
            <w:vAlign w:val="bottom"/>
          </w:tcPr>
          <w:p w14:paraId="3750E62D"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December 28, 2019</w:t>
            </w:r>
          </w:p>
        </w:tc>
      </w:tr>
      <w:tr w:rsidR="002541AD" w14:paraId="3750E638" w14:textId="77777777">
        <w:tc>
          <w:tcPr>
            <w:tcW w:w="0" w:type="auto"/>
            <w:shd w:val="clear" w:color="auto" w:fill="auto"/>
            <w:tcMar>
              <w:top w:w="40" w:type="dxa"/>
              <w:left w:w="40" w:type="dxa"/>
              <w:bottom w:w="40" w:type="dxa"/>
              <w:right w:w="40" w:type="dxa"/>
            </w:tcMar>
            <w:vAlign w:val="bottom"/>
          </w:tcPr>
          <w:p w14:paraId="3750E62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3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2"/>
            <w:shd w:val="clear" w:color="auto" w:fill="auto"/>
            <w:tcMar>
              <w:top w:w="40" w:type="dxa"/>
              <w:left w:w="40" w:type="dxa"/>
              <w:bottom w:w="40" w:type="dxa"/>
            </w:tcMar>
            <w:vAlign w:val="bottom"/>
          </w:tcPr>
          <w:p w14:paraId="3750E631"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Fair Value Measured and </w:t>
            </w:r>
          </w:p>
          <w:p w14:paraId="3750E632"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Recorded at Reporting Date Using</w:t>
            </w:r>
          </w:p>
        </w:tc>
        <w:tc>
          <w:tcPr>
            <w:tcW w:w="0" w:type="auto"/>
            <w:gridSpan w:val="3"/>
            <w:shd w:val="clear" w:color="auto" w:fill="auto"/>
            <w:tcMar>
              <w:top w:w="40" w:type="dxa"/>
              <w:left w:w="40" w:type="dxa"/>
              <w:bottom w:w="40" w:type="dxa"/>
              <w:right w:w="40" w:type="dxa"/>
            </w:tcMar>
            <w:vAlign w:val="bottom"/>
          </w:tcPr>
          <w:p w14:paraId="3750E633"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 </w:t>
            </w:r>
          </w:p>
        </w:tc>
        <w:tc>
          <w:tcPr>
            <w:tcW w:w="0" w:type="auto"/>
            <w:shd w:val="clear" w:color="auto" w:fill="auto"/>
            <w:tcMar>
              <w:top w:w="40" w:type="dxa"/>
              <w:left w:w="40" w:type="dxa"/>
              <w:bottom w:w="40" w:type="dxa"/>
              <w:right w:w="40" w:type="dxa"/>
            </w:tcMar>
            <w:vAlign w:val="bottom"/>
          </w:tcPr>
          <w:p w14:paraId="3750E63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2"/>
            <w:shd w:val="clear" w:color="auto" w:fill="auto"/>
            <w:tcMar>
              <w:top w:w="40" w:type="dxa"/>
              <w:left w:w="40" w:type="dxa"/>
              <w:bottom w:w="40" w:type="dxa"/>
            </w:tcMar>
            <w:vAlign w:val="bottom"/>
          </w:tcPr>
          <w:p w14:paraId="3750E635"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Fair Value Measured and </w:t>
            </w:r>
          </w:p>
          <w:p w14:paraId="3750E636"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Recorded at Reporting Date Using</w:t>
            </w:r>
          </w:p>
        </w:tc>
        <w:tc>
          <w:tcPr>
            <w:tcW w:w="0" w:type="auto"/>
            <w:gridSpan w:val="3"/>
            <w:shd w:val="clear" w:color="auto" w:fill="auto"/>
            <w:tcMar>
              <w:top w:w="40" w:type="dxa"/>
              <w:left w:w="40" w:type="dxa"/>
              <w:bottom w:w="40" w:type="dxa"/>
              <w:right w:w="40" w:type="dxa"/>
            </w:tcMar>
            <w:vAlign w:val="bottom"/>
          </w:tcPr>
          <w:p w14:paraId="3750E637"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 </w:t>
            </w:r>
          </w:p>
        </w:tc>
      </w:tr>
      <w:tr w:rsidR="002541AD" w14:paraId="3750E64A"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639"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E63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71C5"/>
              <w:bottom w:val="single" w:sz="8" w:space="0" w:color="0071C5"/>
            </w:tcBorders>
            <w:shd w:val="clear" w:color="auto" w:fill="auto"/>
            <w:tcMar>
              <w:top w:w="40" w:type="dxa"/>
              <w:left w:w="40" w:type="dxa"/>
              <w:bottom w:w="40" w:type="dxa"/>
              <w:right w:w="40" w:type="dxa"/>
            </w:tcMar>
            <w:vAlign w:val="bottom"/>
          </w:tcPr>
          <w:p w14:paraId="3750E63B"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Level 1</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63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71C5"/>
              <w:bottom w:val="single" w:sz="8" w:space="0" w:color="0071C5"/>
            </w:tcBorders>
            <w:shd w:val="clear" w:color="auto" w:fill="auto"/>
            <w:tcMar>
              <w:top w:w="40" w:type="dxa"/>
              <w:left w:w="40" w:type="dxa"/>
              <w:bottom w:w="40" w:type="dxa"/>
              <w:right w:w="40" w:type="dxa"/>
            </w:tcMar>
            <w:vAlign w:val="bottom"/>
          </w:tcPr>
          <w:p w14:paraId="3750E63D"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Level 2</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63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71C5"/>
              <w:bottom w:val="single" w:sz="8" w:space="0" w:color="0071C5"/>
            </w:tcBorders>
            <w:shd w:val="clear" w:color="auto" w:fill="auto"/>
            <w:tcMar>
              <w:top w:w="40" w:type="dxa"/>
              <w:left w:w="40" w:type="dxa"/>
              <w:bottom w:w="40" w:type="dxa"/>
              <w:right w:w="40" w:type="dxa"/>
            </w:tcMar>
            <w:vAlign w:val="bottom"/>
          </w:tcPr>
          <w:p w14:paraId="3750E63F"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Level 3</w:t>
            </w:r>
          </w:p>
        </w:tc>
        <w:tc>
          <w:tcPr>
            <w:tcW w:w="0" w:type="auto"/>
            <w:shd w:val="clear" w:color="auto" w:fill="auto"/>
            <w:tcMar>
              <w:top w:w="40" w:type="dxa"/>
              <w:left w:w="40" w:type="dxa"/>
              <w:bottom w:w="40" w:type="dxa"/>
              <w:right w:w="40" w:type="dxa"/>
            </w:tcMar>
            <w:vAlign w:val="bottom"/>
          </w:tcPr>
          <w:p w14:paraId="3750E64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641"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Total</w:t>
            </w:r>
          </w:p>
        </w:tc>
        <w:tc>
          <w:tcPr>
            <w:tcW w:w="0" w:type="auto"/>
            <w:shd w:val="clear" w:color="auto" w:fill="auto"/>
            <w:tcMar>
              <w:top w:w="40" w:type="dxa"/>
              <w:left w:w="40" w:type="dxa"/>
              <w:bottom w:w="40" w:type="dxa"/>
              <w:right w:w="40" w:type="dxa"/>
            </w:tcMar>
            <w:vAlign w:val="bottom"/>
          </w:tcPr>
          <w:p w14:paraId="3750E64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71C5"/>
              <w:bottom w:val="single" w:sz="8" w:space="0" w:color="0071C5"/>
            </w:tcBorders>
            <w:shd w:val="clear" w:color="auto" w:fill="auto"/>
            <w:tcMar>
              <w:top w:w="40" w:type="dxa"/>
              <w:left w:w="40" w:type="dxa"/>
              <w:bottom w:w="40" w:type="dxa"/>
              <w:right w:w="40" w:type="dxa"/>
            </w:tcMar>
            <w:vAlign w:val="bottom"/>
          </w:tcPr>
          <w:p w14:paraId="3750E643"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Level 1</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64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71C5"/>
              <w:bottom w:val="single" w:sz="8" w:space="0" w:color="0071C5"/>
            </w:tcBorders>
            <w:shd w:val="clear" w:color="auto" w:fill="auto"/>
            <w:tcMar>
              <w:top w:w="40" w:type="dxa"/>
              <w:left w:w="40" w:type="dxa"/>
              <w:bottom w:w="40" w:type="dxa"/>
              <w:right w:w="40" w:type="dxa"/>
            </w:tcMar>
            <w:vAlign w:val="bottom"/>
          </w:tcPr>
          <w:p w14:paraId="3750E645"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Level 2</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64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71C5"/>
              <w:bottom w:val="single" w:sz="8" w:space="0" w:color="0071C5"/>
            </w:tcBorders>
            <w:shd w:val="clear" w:color="auto" w:fill="auto"/>
            <w:tcMar>
              <w:top w:w="40" w:type="dxa"/>
              <w:left w:w="40" w:type="dxa"/>
              <w:bottom w:w="40" w:type="dxa"/>
              <w:right w:w="40" w:type="dxa"/>
            </w:tcMar>
            <w:vAlign w:val="bottom"/>
          </w:tcPr>
          <w:p w14:paraId="3750E647"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Level 3</w:t>
            </w:r>
          </w:p>
        </w:tc>
        <w:tc>
          <w:tcPr>
            <w:tcW w:w="0" w:type="auto"/>
            <w:shd w:val="clear" w:color="auto" w:fill="auto"/>
            <w:tcMar>
              <w:top w:w="40" w:type="dxa"/>
              <w:left w:w="40" w:type="dxa"/>
              <w:bottom w:w="40" w:type="dxa"/>
              <w:right w:w="40" w:type="dxa"/>
            </w:tcMar>
            <w:vAlign w:val="bottom"/>
          </w:tcPr>
          <w:p w14:paraId="3750E64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649"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Total</w:t>
            </w:r>
          </w:p>
        </w:tc>
      </w:tr>
      <w:tr w:rsidR="002541AD" w14:paraId="3750E65C" w14:textId="77777777">
        <w:tc>
          <w:tcPr>
            <w:tcW w:w="0" w:type="auto"/>
            <w:shd w:val="clear" w:color="auto" w:fill="auto"/>
            <w:tcMar>
              <w:top w:w="40" w:type="dxa"/>
              <w:left w:w="40" w:type="dxa"/>
              <w:bottom w:w="40" w:type="dxa"/>
              <w:right w:w="40" w:type="dxa"/>
            </w:tcMar>
          </w:tcPr>
          <w:p w14:paraId="3750E64B" w14:textId="77777777" w:rsidR="002541AD" w:rsidRDefault="00901AA6">
            <w:pPr>
              <w:textAlignment w:val="top"/>
              <w:rPr>
                <w:rFonts w:ascii="Times New Roman" w:hAnsi="Times New Roman"/>
                <w:sz w:val="18"/>
                <w:szCs w:val="18"/>
              </w:rPr>
            </w:pPr>
            <w:r>
              <w:rPr>
                <w:rFonts w:ascii="Arial" w:eastAsia="宋体" w:hAnsi="Arial" w:cs="Arial"/>
                <w:b/>
                <w:bCs/>
                <w:color w:val="333333"/>
                <w:sz w:val="18"/>
                <w:szCs w:val="18"/>
              </w:rPr>
              <w:t>Assets</w:t>
            </w:r>
          </w:p>
        </w:tc>
        <w:tc>
          <w:tcPr>
            <w:tcW w:w="0" w:type="auto"/>
            <w:shd w:val="clear" w:color="auto" w:fill="auto"/>
            <w:tcMar>
              <w:top w:w="40" w:type="dxa"/>
              <w:left w:w="40" w:type="dxa"/>
              <w:bottom w:w="40" w:type="dxa"/>
              <w:right w:w="40" w:type="dxa"/>
            </w:tcMar>
            <w:vAlign w:val="bottom"/>
          </w:tcPr>
          <w:p w14:paraId="3750E64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4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4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4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5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5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5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5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5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5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5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5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5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5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5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5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66E" w14:textId="77777777">
        <w:tc>
          <w:tcPr>
            <w:tcW w:w="0" w:type="auto"/>
            <w:shd w:val="clear" w:color="auto" w:fill="auto"/>
            <w:tcMar>
              <w:top w:w="40" w:type="dxa"/>
              <w:left w:w="40" w:type="dxa"/>
              <w:bottom w:w="40" w:type="dxa"/>
              <w:right w:w="40" w:type="dxa"/>
            </w:tcMar>
          </w:tcPr>
          <w:p w14:paraId="3750E65D"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Cash equivalents:</w:t>
            </w:r>
          </w:p>
        </w:tc>
        <w:tc>
          <w:tcPr>
            <w:tcW w:w="0" w:type="auto"/>
            <w:shd w:val="clear" w:color="auto" w:fill="auto"/>
            <w:tcMar>
              <w:top w:w="40" w:type="dxa"/>
              <w:left w:w="40" w:type="dxa"/>
              <w:bottom w:w="40" w:type="dxa"/>
              <w:right w:w="40" w:type="dxa"/>
            </w:tcMar>
            <w:vAlign w:val="bottom"/>
          </w:tcPr>
          <w:p w14:paraId="3750E65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5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6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6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6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6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6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6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6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6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6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6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6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6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6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6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690" w14:textId="77777777">
        <w:tc>
          <w:tcPr>
            <w:tcW w:w="0" w:type="auto"/>
            <w:shd w:val="clear" w:color="auto" w:fill="auto"/>
            <w:tcMar>
              <w:top w:w="40" w:type="dxa"/>
              <w:left w:w="240" w:type="dxa"/>
              <w:bottom w:w="40" w:type="dxa"/>
              <w:right w:w="40" w:type="dxa"/>
            </w:tcMar>
          </w:tcPr>
          <w:p w14:paraId="3750E66F"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Corporate debt</w:t>
            </w:r>
          </w:p>
        </w:tc>
        <w:tc>
          <w:tcPr>
            <w:tcW w:w="0" w:type="auto"/>
            <w:shd w:val="clear" w:color="auto" w:fill="auto"/>
            <w:tcMar>
              <w:top w:w="40" w:type="dxa"/>
              <w:left w:w="40" w:type="dxa"/>
              <w:bottom w:w="40" w:type="dxa"/>
              <w:right w:w="40" w:type="dxa"/>
            </w:tcMar>
            <w:vAlign w:val="bottom"/>
          </w:tcPr>
          <w:p w14:paraId="3750E67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671"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672"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67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7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675"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67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1,348</w:t>
            </w:r>
          </w:p>
        </w:tc>
        <w:tc>
          <w:tcPr>
            <w:tcW w:w="0" w:type="auto"/>
            <w:shd w:val="clear" w:color="auto" w:fill="auto"/>
            <w:vAlign w:val="bottom"/>
          </w:tcPr>
          <w:p w14:paraId="3750E67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7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679"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67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67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7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67D"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67E"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1,348</w:t>
            </w:r>
          </w:p>
        </w:tc>
        <w:tc>
          <w:tcPr>
            <w:tcW w:w="0" w:type="auto"/>
            <w:shd w:val="clear" w:color="auto" w:fill="auto"/>
            <w:vAlign w:val="bottom"/>
          </w:tcPr>
          <w:p w14:paraId="3750E67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8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681"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68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68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8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685"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68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713</w:t>
            </w:r>
          </w:p>
        </w:tc>
        <w:tc>
          <w:tcPr>
            <w:tcW w:w="0" w:type="auto"/>
            <w:shd w:val="clear" w:color="auto" w:fill="auto"/>
            <w:vAlign w:val="bottom"/>
          </w:tcPr>
          <w:p w14:paraId="3750E68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8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689"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68A"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68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8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68D"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68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713</w:t>
            </w:r>
          </w:p>
        </w:tc>
        <w:tc>
          <w:tcPr>
            <w:tcW w:w="0" w:type="auto"/>
            <w:shd w:val="clear" w:color="auto" w:fill="auto"/>
            <w:vAlign w:val="bottom"/>
          </w:tcPr>
          <w:p w14:paraId="3750E68F" w14:textId="77777777" w:rsidR="002541AD" w:rsidRDefault="002541AD">
            <w:pPr>
              <w:textAlignment w:val="bottom"/>
              <w:rPr>
                <w:rFonts w:ascii="Times New Roman" w:hAnsi="Times New Roman"/>
                <w:sz w:val="20"/>
                <w:szCs w:val="20"/>
              </w:rPr>
            </w:pPr>
          </w:p>
        </w:tc>
      </w:tr>
      <w:tr w:rsidR="002541AD" w14:paraId="3750E6AA" w14:textId="77777777">
        <w:tc>
          <w:tcPr>
            <w:tcW w:w="0" w:type="auto"/>
            <w:shd w:val="clear" w:color="auto" w:fill="auto"/>
            <w:tcMar>
              <w:top w:w="40" w:type="dxa"/>
              <w:left w:w="240" w:type="dxa"/>
              <w:bottom w:w="40" w:type="dxa"/>
              <w:right w:w="40" w:type="dxa"/>
            </w:tcMar>
          </w:tcPr>
          <w:p w14:paraId="3750E691"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Financial institution instruments¹</w:t>
            </w:r>
          </w:p>
        </w:tc>
        <w:tc>
          <w:tcPr>
            <w:tcW w:w="0" w:type="auto"/>
            <w:shd w:val="clear" w:color="auto" w:fill="auto"/>
            <w:tcMar>
              <w:top w:w="40" w:type="dxa"/>
              <w:left w:w="40" w:type="dxa"/>
              <w:bottom w:w="40" w:type="dxa"/>
              <w:right w:w="40" w:type="dxa"/>
            </w:tcMar>
            <w:vAlign w:val="bottom"/>
          </w:tcPr>
          <w:p w14:paraId="3750E69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9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7,557</w:t>
            </w:r>
          </w:p>
        </w:tc>
        <w:tc>
          <w:tcPr>
            <w:tcW w:w="0" w:type="auto"/>
            <w:shd w:val="clear" w:color="auto" w:fill="auto"/>
            <w:vAlign w:val="bottom"/>
          </w:tcPr>
          <w:p w14:paraId="3750E69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9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9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600</w:t>
            </w:r>
          </w:p>
        </w:tc>
        <w:tc>
          <w:tcPr>
            <w:tcW w:w="0" w:type="auto"/>
            <w:shd w:val="clear" w:color="auto" w:fill="auto"/>
            <w:vAlign w:val="bottom"/>
          </w:tcPr>
          <w:p w14:paraId="3750E69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9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9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69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9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9C"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8,157</w:t>
            </w:r>
          </w:p>
        </w:tc>
        <w:tc>
          <w:tcPr>
            <w:tcW w:w="0" w:type="auto"/>
            <w:shd w:val="clear" w:color="auto" w:fill="auto"/>
            <w:vAlign w:val="bottom"/>
          </w:tcPr>
          <w:p w14:paraId="3750E69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9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9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1,064</w:t>
            </w:r>
          </w:p>
        </w:tc>
        <w:tc>
          <w:tcPr>
            <w:tcW w:w="0" w:type="auto"/>
            <w:shd w:val="clear" w:color="auto" w:fill="auto"/>
            <w:vAlign w:val="bottom"/>
          </w:tcPr>
          <w:p w14:paraId="3750E6A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A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A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408</w:t>
            </w:r>
          </w:p>
        </w:tc>
        <w:tc>
          <w:tcPr>
            <w:tcW w:w="0" w:type="auto"/>
            <w:shd w:val="clear" w:color="auto" w:fill="auto"/>
            <w:vAlign w:val="bottom"/>
          </w:tcPr>
          <w:p w14:paraId="3750E6A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A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A5"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6A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A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A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1,472</w:t>
            </w:r>
          </w:p>
        </w:tc>
        <w:tc>
          <w:tcPr>
            <w:tcW w:w="0" w:type="auto"/>
            <w:shd w:val="clear" w:color="auto" w:fill="auto"/>
            <w:vAlign w:val="bottom"/>
          </w:tcPr>
          <w:p w14:paraId="3750E6A9" w14:textId="77777777" w:rsidR="002541AD" w:rsidRDefault="002541AD">
            <w:pPr>
              <w:textAlignment w:val="bottom"/>
              <w:rPr>
                <w:rFonts w:ascii="Times New Roman" w:hAnsi="Times New Roman"/>
                <w:sz w:val="20"/>
                <w:szCs w:val="20"/>
              </w:rPr>
            </w:pPr>
          </w:p>
        </w:tc>
      </w:tr>
      <w:tr w:rsidR="002541AD" w14:paraId="3750E6C4" w14:textId="77777777">
        <w:tc>
          <w:tcPr>
            <w:tcW w:w="0" w:type="auto"/>
            <w:shd w:val="clear" w:color="auto" w:fill="auto"/>
            <w:tcMar>
              <w:top w:w="40" w:type="dxa"/>
              <w:left w:w="240" w:type="dxa"/>
              <w:bottom w:w="40" w:type="dxa"/>
              <w:right w:w="40" w:type="dxa"/>
            </w:tcMar>
          </w:tcPr>
          <w:p w14:paraId="3750E6AB"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Government debt²</w:t>
            </w:r>
          </w:p>
        </w:tc>
        <w:tc>
          <w:tcPr>
            <w:tcW w:w="0" w:type="auto"/>
            <w:shd w:val="clear" w:color="auto" w:fill="auto"/>
            <w:tcMar>
              <w:top w:w="40" w:type="dxa"/>
              <w:left w:w="40" w:type="dxa"/>
              <w:bottom w:w="40" w:type="dxa"/>
              <w:right w:w="40" w:type="dxa"/>
            </w:tcMar>
            <w:vAlign w:val="bottom"/>
          </w:tcPr>
          <w:p w14:paraId="3750E6A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A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6A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A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B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199</w:t>
            </w:r>
          </w:p>
        </w:tc>
        <w:tc>
          <w:tcPr>
            <w:tcW w:w="0" w:type="auto"/>
            <w:shd w:val="clear" w:color="auto" w:fill="auto"/>
            <w:vAlign w:val="bottom"/>
          </w:tcPr>
          <w:p w14:paraId="3750E6B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B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B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6B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B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B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199</w:t>
            </w:r>
          </w:p>
        </w:tc>
        <w:tc>
          <w:tcPr>
            <w:tcW w:w="0" w:type="auto"/>
            <w:shd w:val="clear" w:color="auto" w:fill="auto"/>
            <w:vAlign w:val="bottom"/>
          </w:tcPr>
          <w:p w14:paraId="3750E6B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B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B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6B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B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B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6B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B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B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6C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C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C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6C3" w14:textId="77777777" w:rsidR="002541AD" w:rsidRDefault="002541AD">
            <w:pPr>
              <w:textAlignment w:val="bottom"/>
              <w:rPr>
                <w:rFonts w:ascii="Times New Roman" w:hAnsi="Times New Roman"/>
                <w:sz w:val="20"/>
                <w:szCs w:val="20"/>
              </w:rPr>
            </w:pPr>
          </w:p>
        </w:tc>
      </w:tr>
      <w:tr w:rsidR="002541AD" w14:paraId="3750E6DE" w14:textId="77777777">
        <w:tc>
          <w:tcPr>
            <w:tcW w:w="0" w:type="auto"/>
            <w:shd w:val="clear" w:color="auto" w:fill="auto"/>
            <w:tcMar>
              <w:top w:w="40" w:type="dxa"/>
              <w:left w:w="240" w:type="dxa"/>
              <w:bottom w:w="40" w:type="dxa"/>
              <w:right w:w="40" w:type="dxa"/>
            </w:tcMar>
          </w:tcPr>
          <w:p w14:paraId="3750E6C5"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Reverse repurchase agreements</w:t>
            </w:r>
          </w:p>
        </w:tc>
        <w:tc>
          <w:tcPr>
            <w:tcW w:w="0" w:type="auto"/>
            <w:shd w:val="clear" w:color="auto" w:fill="auto"/>
            <w:tcMar>
              <w:top w:w="40" w:type="dxa"/>
              <w:left w:w="40" w:type="dxa"/>
              <w:bottom w:w="40" w:type="dxa"/>
              <w:right w:w="40" w:type="dxa"/>
            </w:tcMar>
            <w:vAlign w:val="bottom"/>
          </w:tcPr>
          <w:p w14:paraId="3750E6C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C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6C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C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C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1,150</w:t>
            </w:r>
          </w:p>
        </w:tc>
        <w:tc>
          <w:tcPr>
            <w:tcW w:w="0" w:type="auto"/>
            <w:shd w:val="clear" w:color="auto" w:fill="auto"/>
            <w:vAlign w:val="bottom"/>
          </w:tcPr>
          <w:p w14:paraId="3750E6C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C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C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6C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C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D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1,150</w:t>
            </w:r>
          </w:p>
        </w:tc>
        <w:tc>
          <w:tcPr>
            <w:tcW w:w="0" w:type="auto"/>
            <w:shd w:val="clear" w:color="auto" w:fill="auto"/>
            <w:vAlign w:val="bottom"/>
          </w:tcPr>
          <w:p w14:paraId="3750E6D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D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D3"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6D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D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D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1,500</w:t>
            </w:r>
          </w:p>
        </w:tc>
        <w:tc>
          <w:tcPr>
            <w:tcW w:w="0" w:type="auto"/>
            <w:shd w:val="clear" w:color="auto" w:fill="auto"/>
            <w:vAlign w:val="bottom"/>
          </w:tcPr>
          <w:p w14:paraId="3750E6D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D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D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6D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D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D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1,500</w:t>
            </w:r>
          </w:p>
        </w:tc>
        <w:tc>
          <w:tcPr>
            <w:tcW w:w="0" w:type="auto"/>
            <w:shd w:val="clear" w:color="auto" w:fill="auto"/>
            <w:vAlign w:val="bottom"/>
          </w:tcPr>
          <w:p w14:paraId="3750E6DD" w14:textId="77777777" w:rsidR="002541AD" w:rsidRDefault="002541AD">
            <w:pPr>
              <w:textAlignment w:val="bottom"/>
              <w:rPr>
                <w:rFonts w:ascii="Times New Roman" w:hAnsi="Times New Roman"/>
                <w:sz w:val="20"/>
                <w:szCs w:val="20"/>
              </w:rPr>
            </w:pPr>
          </w:p>
        </w:tc>
      </w:tr>
      <w:tr w:rsidR="002541AD" w14:paraId="3750E6F0" w14:textId="77777777">
        <w:tc>
          <w:tcPr>
            <w:tcW w:w="0" w:type="auto"/>
            <w:shd w:val="clear" w:color="auto" w:fill="auto"/>
            <w:tcMar>
              <w:top w:w="40" w:type="dxa"/>
              <w:left w:w="40" w:type="dxa"/>
              <w:bottom w:w="40" w:type="dxa"/>
              <w:right w:w="40" w:type="dxa"/>
            </w:tcMar>
          </w:tcPr>
          <w:p w14:paraId="3750E6DF"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Short-term investments:</w:t>
            </w:r>
          </w:p>
        </w:tc>
        <w:tc>
          <w:tcPr>
            <w:tcW w:w="0" w:type="auto"/>
            <w:shd w:val="clear" w:color="auto" w:fill="auto"/>
            <w:tcMar>
              <w:top w:w="40" w:type="dxa"/>
              <w:left w:w="40" w:type="dxa"/>
              <w:bottom w:w="40" w:type="dxa"/>
              <w:right w:w="40" w:type="dxa"/>
            </w:tcMar>
            <w:vAlign w:val="bottom"/>
          </w:tcPr>
          <w:p w14:paraId="3750E6E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E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E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E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E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E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E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E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E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E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E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E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E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E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6E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6E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70A" w14:textId="77777777">
        <w:tc>
          <w:tcPr>
            <w:tcW w:w="0" w:type="auto"/>
            <w:shd w:val="clear" w:color="auto" w:fill="auto"/>
            <w:tcMar>
              <w:top w:w="40" w:type="dxa"/>
              <w:left w:w="240" w:type="dxa"/>
              <w:bottom w:w="40" w:type="dxa"/>
              <w:right w:w="40" w:type="dxa"/>
            </w:tcMar>
          </w:tcPr>
          <w:p w14:paraId="3750E6F1"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Corporate debt</w:t>
            </w:r>
          </w:p>
        </w:tc>
        <w:tc>
          <w:tcPr>
            <w:tcW w:w="0" w:type="auto"/>
            <w:shd w:val="clear" w:color="auto" w:fill="auto"/>
            <w:tcMar>
              <w:top w:w="40" w:type="dxa"/>
              <w:left w:w="40" w:type="dxa"/>
              <w:bottom w:w="40" w:type="dxa"/>
              <w:right w:w="40" w:type="dxa"/>
            </w:tcMar>
            <w:vAlign w:val="bottom"/>
          </w:tcPr>
          <w:p w14:paraId="3750E6F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F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6F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F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F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493</w:t>
            </w:r>
          </w:p>
        </w:tc>
        <w:tc>
          <w:tcPr>
            <w:tcW w:w="0" w:type="auto"/>
            <w:shd w:val="clear" w:color="auto" w:fill="auto"/>
            <w:vAlign w:val="bottom"/>
          </w:tcPr>
          <w:p w14:paraId="3750E6F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F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F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6F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F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FC"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493</w:t>
            </w:r>
          </w:p>
        </w:tc>
        <w:tc>
          <w:tcPr>
            <w:tcW w:w="0" w:type="auto"/>
            <w:shd w:val="clear" w:color="auto" w:fill="auto"/>
            <w:vAlign w:val="bottom"/>
          </w:tcPr>
          <w:p w14:paraId="3750E6F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6F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6F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70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0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0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347</w:t>
            </w:r>
          </w:p>
        </w:tc>
        <w:tc>
          <w:tcPr>
            <w:tcW w:w="0" w:type="auto"/>
            <w:shd w:val="clear" w:color="auto" w:fill="auto"/>
            <w:vAlign w:val="bottom"/>
          </w:tcPr>
          <w:p w14:paraId="3750E70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0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05"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70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0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0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347</w:t>
            </w:r>
          </w:p>
        </w:tc>
        <w:tc>
          <w:tcPr>
            <w:tcW w:w="0" w:type="auto"/>
            <w:shd w:val="clear" w:color="auto" w:fill="auto"/>
            <w:vAlign w:val="bottom"/>
          </w:tcPr>
          <w:p w14:paraId="3750E709" w14:textId="77777777" w:rsidR="002541AD" w:rsidRDefault="002541AD">
            <w:pPr>
              <w:textAlignment w:val="bottom"/>
              <w:rPr>
                <w:rFonts w:ascii="Times New Roman" w:hAnsi="Times New Roman"/>
                <w:sz w:val="20"/>
                <w:szCs w:val="20"/>
              </w:rPr>
            </w:pPr>
          </w:p>
        </w:tc>
      </w:tr>
      <w:tr w:rsidR="002541AD" w14:paraId="3750E724" w14:textId="77777777">
        <w:tc>
          <w:tcPr>
            <w:tcW w:w="0" w:type="auto"/>
            <w:shd w:val="clear" w:color="auto" w:fill="auto"/>
            <w:tcMar>
              <w:top w:w="40" w:type="dxa"/>
              <w:left w:w="240" w:type="dxa"/>
              <w:bottom w:w="40" w:type="dxa"/>
              <w:right w:w="40" w:type="dxa"/>
            </w:tcMar>
          </w:tcPr>
          <w:p w14:paraId="3750E70B"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Financial institution instruments¹</w:t>
            </w:r>
          </w:p>
        </w:tc>
        <w:tc>
          <w:tcPr>
            <w:tcW w:w="0" w:type="auto"/>
            <w:shd w:val="clear" w:color="auto" w:fill="auto"/>
            <w:tcMar>
              <w:top w:w="40" w:type="dxa"/>
              <w:left w:w="40" w:type="dxa"/>
              <w:bottom w:w="40" w:type="dxa"/>
              <w:right w:w="40" w:type="dxa"/>
            </w:tcMar>
            <w:vAlign w:val="bottom"/>
          </w:tcPr>
          <w:p w14:paraId="3750E70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0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70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0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1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803</w:t>
            </w:r>
          </w:p>
        </w:tc>
        <w:tc>
          <w:tcPr>
            <w:tcW w:w="0" w:type="auto"/>
            <w:shd w:val="clear" w:color="auto" w:fill="auto"/>
            <w:vAlign w:val="bottom"/>
          </w:tcPr>
          <w:p w14:paraId="3750E71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1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1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71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1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1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803</w:t>
            </w:r>
          </w:p>
        </w:tc>
        <w:tc>
          <w:tcPr>
            <w:tcW w:w="0" w:type="auto"/>
            <w:shd w:val="clear" w:color="auto" w:fill="auto"/>
            <w:vAlign w:val="bottom"/>
          </w:tcPr>
          <w:p w14:paraId="3750E71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1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1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71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1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1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724</w:t>
            </w:r>
          </w:p>
        </w:tc>
        <w:tc>
          <w:tcPr>
            <w:tcW w:w="0" w:type="auto"/>
            <w:shd w:val="clear" w:color="auto" w:fill="auto"/>
            <w:vAlign w:val="bottom"/>
          </w:tcPr>
          <w:p w14:paraId="3750E71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1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1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72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2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2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724</w:t>
            </w:r>
          </w:p>
        </w:tc>
        <w:tc>
          <w:tcPr>
            <w:tcW w:w="0" w:type="auto"/>
            <w:shd w:val="clear" w:color="auto" w:fill="auto"/>
            <w:vAlign w:val="bottom"/>
          </w:tcPr>
          <w:p w14:paraId="3750E723" w14:textId="77777777" w:rsidR="002541AD" w:rsidRDefault="002541AD">
            <w:pPr>
              <w:textAlignment w:val="bottom"/>
              <w:rPr>
                <w:rFonts w:ascii="Times New Roman" w:hAnsi="Times New Roman"/>
                <w:sz w:val="20"/>
                <w:szCs w:val="20"/>
              </w:rPr>
            </w:pPr>
          </w:p>
        </w:tc>
      </w:tr>
      <w:tr w:rsidR="002541AD" w14:paraId="3750E73E" w14:textId="77777777">
        <w:tc>
          <w:tcPr>
            <w:tcW w:w="0" w:type="auto"/>
            <w:shd w:val="clear" w:color="auto" w:fill="auto"/>
            <w:tcMar>
              <w:top w:w="40" w:type="dxa"/>
              <w:left w:w="240" w:type="dxa"/>
              <w:bottom w:w="40" w:type="dxa"/>
              <w:right w:w="40" w:type="dxa"/>
            </w:tcMar>
          </w:tcPr>
          <w:p w14:paraId="3750E725"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Government debt²</w:t>
            </w:r>
          </w:p>
        </w:tc>
        <w:tc>
          <w:tcPr>
            <w:tcW w:w="0" w:type="auto"/>
            <w:shd w:val="clear" w:color="auto" w:fill="auto"/>
            <w:tcMar>
              <w:top w:w="40" w:type="dxa"/>
              <w:left w:w="40" w:type="dxa"/>
              <w:bottom w:w="40" w:type="dxa"/>
              <w:right w:w="40" w:type="dxa"/>
            </w:tcMar>
            <w:vAlign w:val="bottom"/>
          </w:tcPr>
          <w:p w14:paraId="3750E72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2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72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2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2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72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2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2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72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2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3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73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3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33"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73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3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3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11</w:t>
            </w:r>
          </w:p>
        </w:tc>
        <w:tc>
          <w:tcPr>
            <w:tcW w:w="0" w:type="auto"/>
            <w:shd w:val="clear" w:color="auto" w:fill="auto"/>
            <w:vAlign w:val="bottom"/>
          </w:tcPr>
          <w:p w14:paraId="3750E73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3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3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73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3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3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11</w:t>
            </w:r>
          </w:p>
        </w:tc>
        <w:tc>
          <w:tcPr>
            <w:tcW w:w="0" w:type="auto"/>
            <w:shd w:val="clear" w:color="auto" w:fill="auto"/>
            <w:vAlign w:val="bottom"/>
          </w:tcPr>
          <w:p w14:paraId="3750E73D" w14:textId="77777777" w:rsidR="002541AD" w:rsidRDefault="002541AD">
            <w:pPr>
              <w:textAlignment w:val="bottom"/>
              <w:rPr>
                <w:rFonts w:ascii="Times New Roman" w:hAnsi="Times New Roman"/>
                <w:sz w:val="20"/>
                <w:szCs w:val="20"/>
              </w:rPr>
            </w:pPr>
          </w:p>
        </w:tc>
      </w:tr>
      <w:tr w:rsidR="002541AD" w14:paraId="3750E750" w14:textId="77777777">
        <w:tc>
          <w:tcPr>
            <w:tcW w:w="0" w:type="auto"/>
            <w:shd w:val="clear" w:color="auto" w:fill="auto"/>
            <w:tcMar>
              <w:top w:w="40" w:type="dxa"/>
              <w:left w:w="40" w:type="dxa"/>
              <w:bottom w:w="40" w:type="dxa"/>
              <w:right w:w="40" w:type="dxa"/>
            </w:tcMar>
          </w:tcPr>
          <w:p w14:paraId="3750E73F"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Trading assets:</w:t>
            </w:r>
          </w:p>
        </w:tc>
        <w:tc>
          <w:tcPr>
            <w:tcW w:w="0" w:type="auto"/>
            <w:shd w:val="clear" w:color="auto" w:fill="auto"/>
            <w:tcMar>
              <w:top w:w="40" w:type="dxa"/>
              <w:left w:w="40" w:type="dxa"/>
              <w:bottom w:w="40" w:type="dxa"/>
              <w:right w:w="40" w:type="dxa"/>
            </w:tcMar>
            <w:vAlign w:val="bottom"/>
          </w:tcPr>
          <w:p w14:paraId="3750E74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74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74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74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74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74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74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74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74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74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74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74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74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74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74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74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76A" w14:textId="77777777">
        <w:tc>
          <w:tcPr>
            <w:tcW w:w="0" w:type="auto"/>
            <w:shd w:val="clear" w:color="auto" w:fill="auto"/>
            <w:tcMar>
              <w:top w:w="40" w:type="dxa"/>
              <w:left w:w="240" w:type="dxa"/>
              <w:bottom w:w="40" w:type="dxa"/>
              <w:right w:w="40" w:type="dxa"/>
            </w:tcMar>
          </w:tcPr>
          <w:p w14:paraId="3750E751"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Corporate debt</w:t>
            </w:r>
          </w:p>
        </w:tc>
        <w:tc>
          <w:tcPr>
            <w:tcW w:w="0" w:type="auto"/>
            <w:shd w:val="clear" w:color="auto" w:fill="auto"/>
            <w:tcMar>
              <w:top w:w="40" w:type="dxa"/>
              <w:left w:w="40" w:type="dxa"/>
              <w:bottom w:w="40" w:type="dxa"/>
              <w:right w:w="40" w:type="dxa"/>
            </w:tcMar>
            <w:vAlign w:val="bottom"/>
          </w:tcPr>
          <w:p w14:paraId="3750E75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5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75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5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5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2,850</w:t>
            </w:r>
          </w:p>
        </w:tc>
        <w:tc>
          <w:tcPr>
            <w:tcW w:w="0" w:type="auto"/>
            <w:shd w:val="clear" w:color="auto" w:fill="auto"/>
            <w:vAlign w:val="bottom"/>
          </w:tcPr>
          <w:p w14:paraId="3750E75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5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5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75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5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5C"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2,850</w:t>
            </w:r>
          </w:p>
        </w:tc>
        <w:tc>
          <w:tcPr>
            <w:tcW w:w="0" w:type="auto"/>
            <w:shd w:val="clear" w:color="auto" w:fill="auto"/>
            <w:vAlign w:val="bottom"/>
          </w:tcPr>
          <w:p w14:paraId="3750E75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5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5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76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6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6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2,848</w:t>
            </w:r>
          </w:p>
        </w:tc>
        <w:tc>
          <w:tcPr>
            <w:tcW w:w="0" w:type="auto"/>
            <w:shd w:val="clear" w:color="auto" w:fill="auto"/>
            <w:vAlign w:val="bottom"/>
          </w:tcPr>
          <w:p w14:paraId="3750E76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6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65"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76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6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6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2,848</w:t>
            </w:r>
          </w:p>
        </w:tc>
        <w:tc>
          <w:tcPr>
            <w:tcW w:w="0" w:type="auto"/>
            <w:shd w:val="clear" w:color="auto" w:fill="auto"/>
            <w:vAlign w:val="bottom"/>
          </w:tcPr>
          <w:p w14:paraId="3750E769" w14:textId="77777777" w:rsidR="002541AD" w:rsidRDefault="002541AD">
            <w:pPr>
              <w:textAlignment w:val="bottom"/>
              <w:rPr>
                <w:rFonts w:ascii="Times New Roman" w:hAnsi="Times New Roman"/>
                <w:sz w:val="20"/>
                <w:szCs w:val="20"/>
              </w:rPr>
            </w:pPr>
          </w:p>
        </w:tc>
      </w:tr>
      <w:tr w:rsidR="002541AD" w14:paraId="3750E784" w14:textId="77777777">
        <w:tc>
          <w:tcPr>
            <w:tcW w:w="0" w:type="auto"/>
            <w:shd w:val="clear" w:color="auto" w:fill="auto"/>
            <w:tcMar>
              <w:top w:w="40" w:type="dxa"/>
              <w:left w:w="240" w:type="dxa"/>
              <w:bottom w:w="40" w:type="dxa"/>
              <w:right w:w="40" w:type="dxa"/>
            </w:tcMar>
          </w:tcPr>
          <w:p w14:paraId="3750E76B"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Financial institution instruments¹</w:t>
            </w:r>
          </w:p>
        </w:tc>
        <w:tc>
          <w:tcPr>
            <w:tcW w:w="0" w:type="auto"/>
            <w:shd w:val="clear" w:color="auto" w:fill="auto"/>
            <w:tcMar>
              <w:top w:w="40" w:type="dxa"/>
              <w:left w:w="40" w:type="dxa"/>
              <w:bottom w:w="40" w:type="dxa"/>
              <w:right w:w="40" w:type="dxa"/>
            </w:tcMar>
            <w:vAlign w:val="bottom"/>
          </w:tcPr>
          <w:p w14:paraId="3750E76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6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78</w:t>
            </w:r>
          </w:p>
        </w:tc>
        <w:tc>
          <w:tcPr>
            <w:tcW w:w="0" w:type="auto"/>
            <w:shd w:val="clear" w:color="auto" w:fill="auto"/>
            <w:vAlign w:val="bottom"/>
          </w:tcPr>
          <w:p w14:paraId="3750E76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6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7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2,020</w:t>
            </w:r>
          </w:p>
        </w:tc>
        <w:tc>
          <w:tcPr>
            <w:tcW w:w="0" w:type="auto"/>
            <w:shd w:val="clear" w:color="auto" w:fill="auto"/>
            <w:vAlign w:val="bottom"/>
          </w:tcPr>
          <w:p w14:paraId="3750E77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7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7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77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7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7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2,098</w:t>
            </w:r>
          </w:p>
        </w:tc>
        <w:tc>
          <w:tcPr>
            <w:tcW w:w="0" w:type="auto"/>
            <w:shd w:val="clear" w:color="auto" w:fill="auto"/>
            <w:vAlign w:val="bottom"/>
          </w:tcPr>
          <w:p w14:paraId="3750E77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7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7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87</w:t>
            </w:r>
          </w:p>
        </w:tc>
        <w:tc>
          <w:tcPr>
            <w:tcW w:w="0" w:type="auto"/>
            <w:shd w:val="clear" w:color="auto" w:fill="auto"/>
            <w:vAlign w:val="bottom"/>
          </w:tcPr>
          <w:p w14:paraId="3750E77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7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7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1,578</w:t>
            </w:r>
          </w:p>
        </w:tc>
        <w:tc>
          <w:tcPr>
            <w:tcW w:w="0" w:type="auto"/>
            <w:shd w:val="clear" w:color="auto" w:fill="auto"/>
            <w:vAlign w:val="bottom"/>
          </w:tcPr>
          <w:p w14:paraId="3750E77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7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7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78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8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8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1,665</w:t>
            </w:r>
          </w:p>
        </w:tc>
        <w:tc>
          <w:tcPr>
            <w:tcW w:w="0" w:type="auto"/>
            <w:shd w:val="clear" w:color="auto" w:fill="auto"/>
            <w:vAlign w:val="bottom"/>
          </w:tcPr>
          <w:p w14:paraId="3750E783" w14:textId="77777777" w:rsidR="002541AD" w:rsidRDefault="002541AD">
            <w:pPr>
              <w:textAlignment w:val="bottom"/>
              <w:rPr>
                <w:rFonts w:ascii="Times New Roman" w:hAnsi="Times New Roman"/>
                <w:sz w:val="20"/>
                <w:szCs w:val="20"/>
              </w:rPr>
            </w:pPr>
          </w:p>
        </w:tc>
      </w:tr>
      <w:tr w:rsidR="002541AD" w14:paraId="3750E79E" w14:textId="77777777">
        <w:tc>
          <w:tcPr>
            <w:tcW w:w="0" w:type="auto"/>
            <w:shd w:val="clear" w:color="auto" w:fill="auto"/>
            <w:tcMar>
              <w:top w:w="40" w:type="dxa"/>
              <w:left w:w="240" w:type="dxa"/>
              <w:bottom w:w="40" w:type="dxa"/>
              <w:right w:w="40" w:type="dxa"/>
            </w:tcMar>
          </w:tcPr>
          <w:p w14:paraId="3750E785"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Government debt²</w:t>
            </w:r>
          </w:p>
        </w:tc>
        <w:tc>
          <w:tcPr>
            <w:tcW w:w="0" w:type="auto"/>
            <w:shd w:val="clear" w:color="auto" w:fill="auto"/>
            <w:tcMar>
              <w:top w:w="40" w:type="dxa"/>
              <w:left w:w="40" w:type="dxa"/>
              <w:bottom w:w="40" w:type="dxa"/>
              <w:right w:w="40" w:type="dxa"/>
            </w:tcMar>
            <w:vAlign w:val="bottom"/>
          </w:tcPr>
          <w:p w14:paraId="3750E78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8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78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8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8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3,179</w:t>
            </w:r>
          </w:p>
        </w:tc>
        <w:tc>
          <w:tcPr>
            <w:tcW w:w="0" w:type="auto"/>
            <w:shd w:val="clear" w:color="auto" w:fill="auto"/>
            <w:vAlign w:val="bottom"/>
          </w:tcPr>
          <w:p w14:paraId="3750E78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8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8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78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8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9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3,179</w:t>
            </w:r>
          </w:p>
        </w:tc>
        <w:tc>
          <w:tcPr>
            <w:tcW w:w="0" w:type="auto"/>
            <w:shd w:val="clear" w:color="auto" w:fill="auto"/>
            <w:vAlign w:val="bottom"/>
          </w:tcPr>
          <w:p w14:paraId="3750E79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9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93"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79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9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9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3,334</w:t>
            </w:r>
          </w:p>
        </w:tc>
        <w:tc>
          <w:tcPr>
            <w:tcW w:w="0" w:type="auto"/>
            <w:shd w:val="clear" w:color="auto" w:fill="auto"/>
            <w:vAlign w:val="bottom"/>
          </w:tcPr>
          <w:p w14:paraId="3750E79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9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9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79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9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9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3,334</w:t>
            </w:r>
          </w:p>
        </w:tc>
        <w:tc>
          <w:tcPr>
            <w:tcW w:w="0" w:type="auto"/>
            <w:shd w:val="clear" w:color="auto" w:fill="auto"/>
            <w:vAlign w:val="bottom"/>
          </w:tcPr>
          <w:p w14:paraId="3750E79D" w14:textId="77777777" w:rsidR="002541AD" w:rsidRDefault="002541AD">
            <w:pPr>
              <w:textAlignment w:val="bottom"/>
              <w:rPr>
                <w:rFonts w:ascii="Times New Roman" w:hAnsi="Times New Roman"/>
                <w:sz w:val="20"/>
                <w:szCs w:val="20"/>
              </w:rPr>
            </w:pPr>
          </w:p>
        </w:tc>
      </w:tr>
      <w:tr w:rsidR="002541AD" w14:paraId="3750E7B0" w14:textId="77777777">
        <w:tc>
          <w:tcPr>
            <w:tcW w:w="0" w:type="auto"/>
            <w:shd w:val="clear" w:color="auto" w:fill="auto"/>
            <w:tcMar>
              <w:top w:w="40" w:type="dxa"/>
              <w:left w:w="40" w:type="dxa"/>
              <w:bottom w:w="40" w:type="dxa"/>
              <w:right w:w="40" w:type="dxa"/>
            </w:tcMar>
          </w:tcPr>
          <w:p w14:paraId="3750E79F"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Other current assets:</w:t>
            </w:r>
          </w:p>
        </w:tc>
        <w:tc>
          <w:tcPr>
            <w:tcW w:w="0" w:type="auto"/>
            <w:shd w:val="clear" w:color="auto" w:fill="auto"/>
            <w:tcMar>
              <w:top w:w="40" w:type="dxa"/>
              <w:left w:w="40" w:type="dxa"/>
              <w:bottom w:w="40" w:type="dxa"/>
              <w:right w:w="40" w:type="dxa"/>
            </w:tcMar>
            <w:vAlign w:val="bottom"/>
          </w:tcPr>
          <w:p w14:paraId="3750E7A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7A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7A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7A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7A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7A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7A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7A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7A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7A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7A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7A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7A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7A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7A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7A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7CA" w14:textId="77777777">
        <w:tc>
          <w:tcPr>
            <w:tcW w:w="0" w:type="auto"/>
            <w:shd w:val="clear" w:color="auto" w:fill="auto"/>
            <w:tcMar>
              <w:top w:w="40" w:type="dxa"/>
              <w:left w:w="240" w:type="dxa"/>
              <w:bottom w:w="40" w:type="dxa"/>
              <w:right w:w="40" w:type="dxa"/>
            </w:tcMar>
          </w:tcPr>
          <w:p w14:paraId="3750E7B1"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Derivative assets</w:t>
            </w:r>
          </w:p>
        </w:tc>
        <w:tc>
          <w:tcPr>
            <w:tcW w:w="0" w:type="auto"/>
            <w:shd w:val="clear" w:color="auto" w:fill="auto"/>
            <w:tcMar>
              <w:top w:w="40" w:type="dxa"/>
              <w:left w:w="40" w:type="dxa"/>
              <w:bottom w:w="40" w:type="dxa"/>
              <w:right w:w="40" w:type="dxa"/>
            </w:tcMar>
            <w:vAlign w:val="bottom"/>
          </w:tcPr>
          <w:p w14:paraId="3750E7B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B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w:t>
            </w:r>
          </w:p>
        </w:tc>
        <w:tc>
          <w:tcPr>
            <w:tcW w:w="0" w:type="auto"/>
            <w:shd w:val="clear" w:color="auto" w:fill="auto"/>
            <w:vAlign w:val="bottom"/>
          </w:tcPr>
          <w:p w14:paraId="3750E7B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B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B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372</w:t>
            </w:r>
          </w:p>
        </w:tc>
        <w:tc>
          <w:tcPr>
            <w:tcW w:w="0" w:type="auto"/>
            <w:shd w:val="clear" w:color="auto" w:fill="auto"/>
            <w:vAlign w:val="bottom"/>
          </w:tcPr>
          <w:p w14:paraId="3750E7B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B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B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7B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B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BC"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377</w:t>
            </w:r>
          </w:p>
        </w:tc>
        <w:tc>
          <w:tcPr>
            <w:tcW w:w="0" w:type="auto"/>
            <w:shd w:val="clear" w:color="auto" w:fill="auto"/>
            <w:vAlign w:val="bottom"/>
          </w:tcPr>
          <w:p w14:paraId="3750E7B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B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B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50</w:t>
            </w:r>
          </w:p>
        </w:tc>
        <w:tc>
          <w:tcPr>
            <w:tcW w:w="0" w:type="auto"/>
            <w:shd w:val="clear" w:color="auto" w:fill="auto"/>
            <w:vAlign w:val="bottom"/>
          </w:tcPr>
          <w:p w14:paraId="3750E7C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C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C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230</w:t>
            </w:r>
          </w:p>
        </w:tc>
        <w:tc>
          <w:tcPr>
            <w:tcW w:w="0" w:type="auto"/>
            <w:shd w:val="clear" w:color="auto" w:fill="auto"/>
            <w:vAlign w:val="bottom"/>
          </w:tcPr>
          <w:p w14:paraId="3750E7C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C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C5"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7C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C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C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280</w:t>
            </w:r>
          </w:p>
        </w:tc>
        <w:tc>
          <w:tcPr>
            <w:tcW w:w="0" w:type="auto"/>
            <w:shd w:val="clear" w:color="auto" w:fill="auto"/>
            <w:vAlign w:val="bottom"/>
          </w:tcPr>
          <w:p w14:paraId="3750E7C9" w14:textId="77777777" w:rsidR="002541AD" w:rsidRDefault="002541AD">
            <w:pPr>
              <w:textAlignment w:val="bottom"/>
              <w:rPr>
                <w:rFonts w:ascii="Times New Roman" w:hAnsi="Times New Roman"/>
                <w:sz w:val="20"/>
                <w:szCs w:val="20"/>
              </w:rPr>
            </w:pPr>
          </w:p>
        </w:tc>
      </w:tr>
      <w:tr w:rsidR="002541AD" w14:paraId="3750E7E4" w14:textId="77777777">
        <w:tc>
          <w:tcPr>
            <w:tcW w:w="0" w:type="auto"/>
            <w:shd w:val="clear" w:color="auto" w:fill="auto"/>
            <w:tcMar>
              <w:top w:w="40" w:type="dxa"/>
              <w:left w:w="240" w:type="dxa"/>
              <w:bottom w:w="40" w:type="dxa"/>
              <w:right w:w="40" w:type="dxa"/>
            </w:tcMar>
          </w:tcPr>
          <w:p w14:paraId="3750E7CB"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Loans receivable³</w:t>
            </w:r>
          </w:p>
        </w:tc>
        <w:tc>
          <w:tcPr>
            <w:tcW w:w="0" w:type="auto"/>
            <w:shd w:val="clear" w:color="auto" w:fill="auto"/>
            <w:tcMar>
              <w:top w:w="40" w:type="dxa"/>
              <w:left w:w="40" w:type="dxa"/>
              <w:bottom w:w="40" w:type="dxa"/>
              <w:right w:w="40" w:type="dxa"/>
            </w:tcMar>
            <w:vAlign w:val="bottom"/>
          </w:tcPr>
          <w:p w14:paraId="3750E7C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C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7C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C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D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339</w:t>
            </w:r>
          </w:p>
        </w:tc>
        <w:tc>
          <w:tcPr>
            <w:tcW w:w="0" w:type="auto"/>
            <w:shd w:val="clear" w:color="auto" w:fill="auto"/>
            <w:vAlign w:val="bottom"/>
          </w:tcPr>
          <w:p w14:paraId="3750E7D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D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D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7D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D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D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339</w:t>
            </w:r>
          </w:p>
        </w:tc>
        <w:tc>
          <w:tcPr>
            <w:tcW w:w="0" w:type="auto"/>
            <w:shd w:val="clear" w:color="auto" w:fill="auto"/>
            <w:vAlign w:val="bottom"/>
          </w:tcPr>
          <w:p w14:paraId="3750E7D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D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D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7D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D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D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7D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D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D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7E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E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E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7E3" w14:textId="77777777" w:rsidR="002541AD" w:rsidRDefault="002541AD">
            <w:pPr>
              <w:textAlignment w:val="bottom"/>
              <w:rPr>
                <w:rFonts w:ascii="Times New Roman" w:hAnsi="Times New Roman"/>
                <w:sz w:val="20"/>
                <w:szCs w:val="20"/>
              </w:rPr>
            </w:pPr>
          </w:p>
        </w:tc>
      </w:tr>
      <w:tr w:rsidR="002541AD" w14:paraId="3750E7FE" w14:textId="77777777">
        <w:tc>
          <w:tcPr>
            <w:tcW w:w="0" w:type="auto"/>
            <w:shd w:val="clear" w:color="auto" w:fill="auto"/>
            <w:tcMar>
              <w:top w:w="40" w:type="dxa"/>
              <w:left w:w="40" w:type="dxa"/>
              <w:bottom w:w="40" w:type="dxa"/>
              <w:right w:w="40" w:type="dxa"/>
            </w:tcMar>
          </w:tcPr>
          <w:p w14:paraId="3750E7E5"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Marketable equity securities</w:t>
            </w:r>
          </w:p>
        </w:tc>
        <w:tc>
          <w:tcPr>
            <w:tcW w:w="0" w:type="auto"/>
            <w:shd w:val="clear" w:color="auto" w:fill="auto"/>
            <w:tcMar>
              <w:top w:w="40" w:type="dxa"/>
              <w:left w:w="40" w:type="dxa"/>
              <w:bottom w:w="40" w:type="dxa"/>
              <w:right w:w="40" w:type="dxa"/>
            </w:tcMar>
            <w:vAlign w:val="bottom"/>
          </w:tcPr>
          <w:p w14:paraId="3750E7E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E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330</w:t>
            </w:r>
          </w:p>
        </w:tc>
        <w:tc>
          <w:tcPr>
            <w:tcW w:w="0" w:type="auto"/>
            <w:shd w:val="clear" w:color="auto" w:fill="auto"/>
            <w:vAlign w:val="bottom"/>
          </w:tcPr>
          <w:p w14:paraId="3750E7E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E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E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7E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E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E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7E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E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F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330</w:t>
            </w:r>
          </w:p>
        </w:tc>
        <w:tc>
          <w:tcPr>
            <w:tcW w:w="0" w:type="auto"/>
            <w:shd w:val="clear" w:color="auto" w:fill="auto"/>
            <w:vAlign w:val="bottom"/>
          </w:tcPr>
          <w:p w14:paraId="3750E7F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F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F3"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450</w:t>
            </w:r>
          </w:p>
        </w:tc>
        <w:tc>
          <w:tcPr>
            <w:tcW w:w="0" w:type="auto"/>
            <w:shd w:val="clear" w:color="auto" w:fill="auto"/>
            <w:vAlign w:val="bottom"/>
          </w:tcPr>
          <w:p w14:paraId="3750E7F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F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F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7F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F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F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7F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7F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7F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450</w:t>
            </w:r>
          </w:p>
        </w:tc>
        <w:tc>
          <w:tcPr>
            <w:tcW w:w="0" w:type="auto"/>
            <w:shd w:val="clear" w:color="auto" w:fill="auto"/>
            <w:vAlign w:val="bottom"/>
          </w:tcPr>
          <w:p w14:paraId="3750E7FD" w14:textId="77777777" w:rsidR="002541AD" w:rsidRDefault="002541AD">
            <w:pPr>
              <w:textAlignment w:val="bottom"/>
              <w:rPr>
                <w:rFonts w:ascii="Times New Roman" w:hAnsi="Times New Roman"/>
                <w:sz w:val="20"/>
                <w:szCs w:val="20"/>
              </w:rPr>
            </w:pPr>
          </w:p>
        </w:tc>
      </w:tr>
      <w:tr w:rsidR="002541AD" w14:paraId="3750E810" w14:textId="77777777">
        <w:tc>
          <w:tcPr>
            <w:tcW w:w="0" w:type="auto"/>
            <w:shd w:val="clear" w:color="auto" w:fill="auto"/>
            <w:tcMar>
              <w:top w:w="40" w:type="dxa"/>
              <w:left w:w="40" w:type="dxa"/>
              <w:bottom w:w="40" w:type="dxa"/>
              <w:right w:w="40" w:type="dxa"/>
            </w:tcMar>
          </w:tcPr>
          <w:p w14:paraId="3750E7FF"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Other long-term investments:</w:t>
            </w:r>
          </w:p>
        </w:tc>
        <w:tc>
          <w:tcPr>
            <w:tcW w:w="0" w:type="auto"/>
            <w:shd w:val="clear" w:color="auto" w:fill="auto"/>
            <w:tcMar>
              <w:top w:w="40" w:type="dxa"/>
              <w:left w:w="40" w:type="dxa"/>
              <w:bottom w:w="40" w:type="dxa"/>
              <w:right w:w="40" w:type="dxa"/>
            </w:tcMar>
            <w:vAlign w:val="bottom"/>
          </w:tcPr>
          <w:p w14:paraId="3750E80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0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0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0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0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0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0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0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0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0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0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0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0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0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0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0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82A" w14:textId="77777777">
        <w:tc>
          <w:tcPr>
            <w:tcW w:w="0" w:type="auto"/>
            <w:shd w:val="clear" w:color="auto" w:fill="auto"/>
            <w:tcMar>
              <w:top w:w="40" w:type="dxa"/>
              <w:left w:w="240" w:type="dxa"/>
              <w:bottom w:w="40" w:type="dxa"/>
              <w:right w:w="40" w:type="dxa"/>
            </w:tcMar>
          </w:tcPr>
          <w:p w14:paraId="3750E811"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Corporate debt</w:t>
            </w:r>
          </w:p>
        </w:tc>
        <w:tc>
          <w:tcPr>
            <w:tcW w:w="0" w:type="auto"/>
            <w:shd w:val="clear" w:color="auto" w:fill="auto"/>
            <w:tcMar>
              <w:top w:w="40" w:type="dxa"/>
              <w:left w:w="40" w:type="dxa"/>
              <w:bottom w:w="40" w:type="dxa"/>
              <w:right w:w="40" w:type="dxa"/>
            </w:tcMar>
            <w:vAlign w:val="bottom"/>
          </w:tcPr>
          <w:p w14:paraId="3750E81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1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81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1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1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1,852</w:t>
            </w:r>
          </w:p>
        </w:tc>
        <w:tc>
          <w:tcPr>
            <w:tcW w:w="0" w:type="auto"/>
            <w:shd w:val="clear" w:color="auto" w:fill="auto"/>
            <w:vAlign w:val="bottom"/>
          </w:tcPr>
          <w:p w14:paraId="3750E81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1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1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81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1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1C"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1,852</w:t>
            </w:r>
          </w:p>
        </w:tc>
        <w:tc>
          <w:tcPr>
            <w:tcW w:w="0" w:type="auto"/>
            <w:shd w:val="clear" w:color="auto" w:fill="auto"/>
            <w:vAlign w:val="bottom"/>
          </w:tcPr>
          <w:p w14:paraId="3750E81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1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1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 xml:space="preserve">— </w:t>
            </w:r>
          </w:p>
        </w:tc>
        <w:tc>
          <w:tcPr>
            <w:tcW w:w="0" w:type="auto"/>
            <w:shd w:val="clear" w:color="auto" w:fill="auto"/>
            <w:vAlign w:val="bottom"/>
          </w:tcPr>
          <w:p w14:paraId="3750E82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2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2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1,898</w:t>
            </w:r>
          </w:p>
        </w:tc>
        <w:tc>
          <w:tcPr>
            <w:tcW w:w="0" w:type="auto"/>
            <w:shd w:val="clear" w:color="auto" w:fill="auto"/>
            <w:vAlign w:val="bottom"/>
          </w:tcPr>
          <w:p w14:paraId="3750E82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2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25"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82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2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2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1,898</w:t>
            </w:r>
          </w:p>
        </w:tc>
        <w:tc>
          <w:tcPr>
            <w:tcW w:w="0" w:type="auto"/>
            <w:shd w:val="clear" w:color="auto" w:fill="auto"/>
            <w:vAlign w:val="bottom"/>
          </w:tcPr>
          <w:p w14:paraId="3750E829" w14:textId="77777777" w:rsidR="002541AD" w:rsidRDefault="002541AD">
            <w:pPr>
              <w:textAlignment w:val="bottom"/>
              <w:rPr>
                <w:rFonts w:ascii="Times New Roman" w:hAnsi="Times New Roman"/>
                <w:sz w:val="20"/>
                <w:szCs w:val="20"/>
              </w:rPr>
            </w:pPr>
          </w:p>
        </w:tc>
      </w:tr>
      <w:tr w:rsidR="002541AD" w14:paraId="3750E844" w14:textId="77777777">
        <w:tc>
          <w:tcPr>
            <w:tcW w:w="0" w:type="auto"/>
            <w:shd w:val="clear" w:color="auto" w:fill="auto"/>
            <w:tcMar>
              <w:top w:w="40" w:type="dxa"/>
              <w:left w:w="240" w:type="dxa"/>
              <w:bottom w:w="40" w:type="dxa"/>
              <w:right w:w="40" w:type="dxa"/>
            </w:tcMar>
          </w:tcPr>
          <w:p w14:paraId="3750E82B"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Financial institution instruments¹</w:t>
            </w:r>
          </w:p>
        </w:tc>
        <w:tc>
          <w:tcPr>
            <w:tcW w:w="0" w:type="auto"/>
            <w:shd w:val="clear" w:color="auto" w:fill="auto"/>
            <w:tcMar>
              <w:top w:w="40" w:type="dxa"/>
              <w:left w:w="40" w:type="dxa"/>
              <w:bottom w:w="40" w:type="dxa"/>
              <w:right w:w="40" w:type="dxa"/>
            </w:tcMar>
            <w:vAlign w:val="bottom"/>
          </w:tcPr>
          <w:p w14:paraId="3750E82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2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82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2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3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532</w:t>
            </w:r>
          </w:p>
        </w:tc>
        <w:tc>
          <w:tcPr>
            <w:tcW w:w="0" w:type="auto"/>
            <w:shd w:val="clear" w:color="auto" w:fill="auto"/>
            <w:vAlign w:val="bottom"/>
          </w:tcPr>
          <w:p w14:paraId="3750E83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3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3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83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3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3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532</w:t>
            </w:r>
          </w:p>
        </w:tc>
        <w:tc>
          <w:tcPr>
            <w:tcW w:w="0" w:type="auto"/>
            <w:shd w:val="clear" w:color="auto" w:fill="auto"/>
            <w:vAlign w:val="bottom"/>
          </w:tcPr>
          <w:p w14:paraId="3750E83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3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3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 xml:space="preserve">— </w:t>
            </w:r>
          </w:p>
        </w:tc>
        <w:tc>
          <w:tcPr>
            <w:tcW w:w="0" w:type="auto"/>
            <w:shd w:val="clear" w:color="auto" w:fill="auto"/>
            <w:vAlign w:val="bottom"/>
          </w:tcPr>
          <w:p w14:paraId="3750E83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3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3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825</w:t>
            </w:r>
          </w:p>
        </w:tc>
        <w:tc>
          <w:tcPr>
            <w:tcW w:w="0" w:type="auto"/>
            <w:shd w:val="clear" w:color="auto" w:fill="auto"/>
            <w:vAlign w:val="bottom"/>
          </w:tcPr>
          <w:p w14:paraId="3750E83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3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3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 xml:space="preserve">— </w:t>
            </w:r>
          </w:p>
        </w:tc>
        <w:tc>
          <w:tcPr>
            <w:tcW w:w="0" w:type="auto"/>
            <w:shd w:val="clear" w:color="auto" w:fill="auto"/>
            <w:vAlign w:val="bottom"/>
          </w:tcPr>
          <w:p w14:paraId="3750E84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4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4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825</w:t>
            </w:r>
          </w:p>
        </w:tc>
        <w:tc>
          <w:tcPr>
            <w:tcW w:w="0" w:type="auto"/>
            <w:shd w:val="clear" w:color="auto" w:fill="auto"/>
            <w:vAlign w:val="bottom"/>
          </w:tcPr>
          <w:p w14:paraId="3750E843" w14:textId="77777777" w:rsidR="002541AD" w:rsidRDefault="002541AD">
            <w:pPr>
              <w:textAlignment w:val="bottom"/>
              <w:rPr>
                <w:rFonts w:ascii="Times New Roman" w:hAnsi="Times New Roman"/>
                <w:sz w:val="20"/>
                <w:szCs w:val="20"/>
              </w:rPr>
            </w:pPr>
          </w:p>
        </w:tc>
      </w:tr>
      <w:tr w:rsidR="002541AD" w14:paraId="3750E85E" w14:textId="77777777">
        <w:tc>
          <w:tcPr>
            <w:tcW w:w="0" w:type="auto"/>
            <w:shd w:val="clear" w:color="auto" w:fill="auto"/>
            <w:tcMar>
              <w:top w:w="40" w:type="dxa"/>
              <w:left w:w="240" w:type="dxa"/>
              <w:bottom w:w="40" w:type="dxa"/>
              <w:right w:w="40" w:type="dxa"/>
            </w:tcMar>
          </w:tcPr>
          <w:p w14:paraId="3750E845"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Government debt²</w:t>
            </w:r>
          </w:p>
        </w:tc>
        <w:tc>
          <w:tcPr>
            <w:tcW w:w="0" w:type="auto"/>
            <w:shd w:val="clear" w:color="auto" w:fill="auto"/>
            <w:tcMar>
              <w:top w:w="40" w:type="dxa"/>
              <w:left w:w="40" w:type="dxa"/>
              <w:bottom w:w="40" w:type="dxa"/>
              <w:right w:w="40" w:type="dxa"/>
            </w:tcMar>
            <w:vAlign w:val="bottom"/>
          </w:tcPr>
          <w:p w14:paraId="3750E84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4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84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4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4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559</w:t>
            </w:r>
          </w:p>
        </w:tc>
        <w:tc>
          <w:tcPr>
            <w:tcW w:w="0" w:type="auto"/>
            <w:shd w:val="clear" w:color="auto" w:fill="auto"/>
            <w:vAlign w:val="bottom"/>
          </w:tcPr>
          <w:p w14:paraId="3750E84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4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4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84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4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5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559</w:t>
            </w:r>
          </w:p>
        </w:tc>
        <w:tc>
          <w:tcPr>
            <w:tcW w:w="0" w:type="auto"/>
            <w:shd w:val="clear" w:color="auto" w:fill="auto"/>
            <w:vAlign w:val="bottom"/>
          </w:tcPr>
          <w:p w14:paraId="3750E85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5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53"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 xml:space="preserve">— </w:t>
            </w:r>
          </w:p>
        </w:tc>
        <w:tc>
          <w:tcPr>
            <w:tcW w:w="0" w:type="auto"/>
            <w:shd w:val="clear" w:color="auto" w:fill="auto"/>
            <w:vAlign w:val="bottom"/>
          </w:tcPr>
          <w:p w14:paraId="3750E85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5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5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553</w:t>
            </w:r>
          </w:p>
        </w:tc>
        <w:tc>
          <w:tcPr>
            <w:tcW w:w="0" w:type="auto"/>
            <w:shd w:val="clear" w:color="auto" w:fill="auto"/>
            <w:vAlign w:val="bottom"/>
          </w:tcPr>
          <w:p w14:paraId="3750E85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5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5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 xml:space="preserve">— </w:t>
            </w:r>
          </w:p>
        </w:tc>
        <w:tc>
          <w:tcPr>
            <w:tcW w:w="0" w:type="auto"/>
            <w:shd w:val="clear" w:color="auto" w:fill="auto"/>
            <w:vAlign w:val="bottom"/>
          </w:tcPr>
          <w:p w14:paraId="3750E85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5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5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553</w:t>
            </w:r>
          </w:p>
        </w:tc>
        <w:tc>
          <w:tcPr>
            <w:tcW w:w="0" w:type="auto"/>
            <w:shd w:val="clear" w:color="auto" w:fill="auto"/>
            <w:vAlign w:val="bottom"/>
          </w:tcPr>
          <w:p w14:paraId="3750E85D" w14:textId="77777777" w:rsidR="002541AD" w:rsidRDefault="002541AD">
            <w:pPr>
              <w:textAlignment w:val="bottom"/>
              <w:rPr>
                <w:rFonts w:ascii="Times New Roman" w:hAnsi="Times New Roman"/>
                <w:sz w:val="20"/>
                <w:szCs w:val="20"/>
              </w:rPr>
            </w:pPr>
          </w:p>
        </w:tc>
      </w:tr>
      <w:tr w:rsidR="002541AD" w14:paraId="3750E870" w14:textId="77777777">
        <w:tc>
          <w:tcPr>
            <w:tcW w:w="0" w:type="auto"/>
            <w:shd w:val="clear" w:color="auto" w:fill="auto"/>
            <w:tcMar>
              <w:top w:w="40" w:type="dxa"/>
              <w:left w:w="40" w:type="dxa"/>
              <w:bottom w:w="40" w:type="dxa"/>
              <w:right w:w="40" w:type="dxa"/>
            </w:tcMar>
          </w:tcPr>
          <w:p w14:paraId="3750E85F"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Other long-term assets:</w:t>
            </w:r>
          </w:p>
        </w:tc>
        <w:tc>
          <w:tcPr>
            <w:tcW w:w="0" w:type="auto"/>
            <w:shd w:val="clear" w:color="auto" w:fill="auto"/>
            <w:tcMar>
              <w:top w:w="40" w:type="dxa"/>
              <w:left w:w="40" w:type="dxa"/>
              <w:bottom w:w="40" w:type="dxa"/>
              <w:right w:w="40" w:type="dxa"/>
            </w:tcMar>
            <w:vAlign w:val="bottom"/>
          </w:tcPr>
          <w:p w14:paraId="3750E86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6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6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6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6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6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6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6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6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6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6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6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6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6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6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6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88A" w14:textId="77777777">
        <w:tc>
          <w:tcPr>
            <w:tcW w:w="0" w:type="auto"/>
            <w:shd w:val="clear" w:color="auto" w:fill="auto"/>
            <w:tcMar>
              <w:top w:w="40" w:type="dxa"/>
              <w:left w:w="240" w:type="dxa"/>
              <w:bottom w:w="40" w:type="dxa"/>
              <w:right w:w="40" w:type="dxa"/>
            </w:tcMar>
          </w:tcPr>
          <w:p w14:paraId="3750E871"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Derivative assets</w:t>
            </w:r>
          </w:p>
        </w:tc>
        <w:tc>
          <w:tcPr>
            <w:tcW w:w="0" w:type="auto"/>
            <w:shd w:val="clear" w:color="auto" w:fill="auto"/>
            <w:tcMar>
              <w:top w:w="40" w:type="dxa"/>
              <w:left w:w="40" w:type="dxa"/>
              <w:bottom w:w="40" w:type="dxa"/>
              <w:right w:w="40" w:type="dxa"/>
            </w:tcMar>
            <w:vAlign w:val="bottom"/>
          </w:tcPr>
          <w:p w14:paraId="3750E87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7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87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7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7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1,604</w:t>
            </w:r>
          </w:p>
        </w:tc>
        <w:tc>
          <w:tcPr>
            <w:tcW w:w="0" w:type="auto"/>
            <w:shd w:val="clear" w:color="auto" w:fill="auto"/>
            <w:vAlign w:val="bottom"/>
          </w:tcPr>
          <w:p w14:paraId="3750E87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7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7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35</w:t>
            </w:r>
          </w:p>
        </w:tc>
        <w:tc>
          <w:tcPr>
            <w:tcW w:w="0" w:type="auto"/>
            <w:shd w:val="clear" w:color="auto" w:fill="auto"/>
            <w:vAlign w:val="bottom"/>
          </w:tcPr>
          <w:p w14:paraId="3750E87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7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7C"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1,639</w:t>
            </w:r>
          </w:p>
        </w:tc>
        <w:tc>
          <w:tcPr>
            <w:tcW w:w="0" w:type="auto"/>
            <w:shd w:val="clear" w:color="auto" w:fill="auto"/>
            <w:vAlign w:val="bottom"/>
          </w:tcPr>
          <w:p w14:paraId="3750E87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7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7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 xml:space="preserve">— </w:t>
            </w:r>
          </w:p>
        </w:tc>
        <w:tc>
          <w:tcPr>
            <w:tcW w:w="0" w:type="auto"/>
            <w:shd w:val="clear" w:color="auto" w:fill="auto"/>
            <w:vAlign w:val="bottom"/>
          </w:tcPr>
          <w:p w14:paraId="3750E88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8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8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690</w:t>
            </w:r>
          </w:p>
        </w:tc>
        <w:tc>
          <w:tcPr>
            <w:tcW w:w="0" w:type="auto"/>
            <w:shd w:val="clear" w:color="auto" w:fill="auto"/>
            <w:vAlign w:val="bottom"/>
          </w:tcPr>
          <w:p w14:paraId="3750E88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8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85"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16</w:t>
            </w:r>
          </w:p>
        </w:tc>
        <w:tc>
          <w:tcPr>
            <w:tcW w:w="0" w:type="auto"/>
            <w:shd w:val="clear" w:color="auto" w:fill="auto"/>
            <w:vAlign w:val="bottom"/>
          </w:tcPr>
          <w:p w14:paraId="3750E88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8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8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706</w:t>
            </w:r>
          </w:p>
        </w:tc>
        <w:tc>
          <w:tcPr>
            <w:tcW w:w="0" w:type="auto"/>
            <w:shd w:val="clear" w:color="auto" w:fill="auto"/>
            <w:vAlign w:val="bottom"/>
          </w:tcPr>
          <w:p w14:paraId="3750E889" w14:textId="77777777" w:rsidR="002541AD" w:rsidRDefault="002541AD">
            <w:pPr>
              <w:textAlignment w:val="bottom"/>
              <w:rPr>
                <w:rFonts w:ascii="Times New Roman" w:hAnsi="Times New Roman"/>
                <w:sz w:val="20"/>
                <w:szCs w:val="20"/>
              </w:rPr>
            </w:pPr>
          </w:p>
        </w:tc>
      </w:tr>
      <w:tr w:rsidR="002541AD" w14:paraId="3750E8A4" w14:textId="77777777">
        <w:tc>
          <w:tcPr>
            <w:tcW w:w="0" w:type="auto"/>
            <w:shd w:val="clear" w:color="auto" w:fill="auto"/>
            <w:tcMar>
              <w:top w:w="40" w:type="dxa"/>
              <w:left w:w="240" w:type="dxa"/>
              <w:bottom w:w="40" w:type="dxa"/>
              <w:right w:w="40" w:type="dxa"/>
            </w:tcMar>
          </w:tcPr>
          <w:p w14:paraId="3750E88B"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Loans receivable³</w:t>
            </w:r>
          </w:p>
        </w:tc>
        <w:tc>
          <w:tcPr>
            <w:tcW w:w="0" w:type="auto"/>
            <w:shd w:val="clear" w:color="auto" w:fill="auto"/>
            <w:tcMar>
              <w:top w:w="40" w:type="dxa"/>
              <w:left w:w="40" w:type="dxa"/>
              <w:bottom w:w="40" w:type="dxa"/>
              <w:right w:w="40" w:type="dxa"/>
            </w:tcMar>
            <w:vAlign w:val="bottom"/>
          </w:tcPr>
          <w:p w14:paraId="3750E88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8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88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8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9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203</w:t>
            </w:r>
          </w:p>
        </w:tc>
        <w:tc>
          <w:tcPr>
            <w:tcW w:w="0" w:type="auto"/>
            <w:shd w:val="clear" w:color="auto" w:fill="auto"/>
            <w:vAlign w:val="bottom"/>
          </w:tcPr>
          <w:p w14:paraId="3750E89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9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9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89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9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E89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203</w:t>
            </w:r>
          </w:p>
        </w:tc>
        <w:tc>
          <w:tcPr>
            <w:tcW w:w="0" w:type="auto"/>
            <w:tcBorders>
              <w:bottom w:val="single" w:sz="8" w:space="0" w:color="333333"/>
            </w:tcBorders>
            <w:shd w:val="clear" w:color="auto" w:fill="auto"/>
            <w:vAlign w:val="bottom"/>
          </w:tcPr>
          <w:p w14:paraId="3750E89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9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9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 xml:space="preserve">— </w:t>
            </w:r>
          </w:p>
        </w:tc>
        <w:tc>
          <w:tcPr>
            <w:tcW w:w="0" w:type="auto"/>
            <w:shd w:val="clear" w:color="auto" w:fill="auto"/>
            <w:vAlign w:val="bottom"/>
          </w:tcPr>
          <w:p w14:paraId="3750E89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9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9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554</w:t>
            </w:r>
          </w:p>
        </w:tc>
        <w:tc>
          <w:tcPr>
            <w:tcW w:w="0" w:type="auto"/>
            <w:shd w:val="clear" w:color="auto" w:fill="auto"/>
            <w:vAlign w:val="bottom"/>
          </w:tcPr>
          <w:p w14:paraId="3750E89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9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89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 xml:space="preserve">— </w:t>
            </w:r>
          </w:p>
        </w:tc>
        <w:tc>
          <w:tcPr>
            <w:tcW w:w="0" w:type="auto"/>
            <w:shd w:val="clear" w:color="auto" w:fill="auto"/>
            <w:vAlign w:val="bottom"/>
          </w:tcPr>
          <w:p w14:paraId="3750E8A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A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E8A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554</w:t>
            </w:r>
          </w:p>
        </w:tc>
        <w:tc>
          <w:tcPr>
            <w:tcW w:w="0" w:type="auto"/>
            <w:tcBorders>
              <w:bottom w:val="single" w:sz="8" w:space="0" w:color="333333"/>
            </w:tcBorders>
            <w:shd w:val="clear" w:color="auto" w:fill="auto"/>
            <w:vAlign w:val="bottom"/>
          </w:tcPr>
          <w:p w14:paraId="3750E8A3" w14:textId="77777777" w:rsidR="002541AD" w:rsidRDefault="002541AD">
            <w:pPr>
              <w:textAlignment w:val="bottom"/>
              <w:rPr>
                <w:rFonts w:ascii="Times New Roman" w:hAnsi="Times New Roman"/>
                <w:sz w:val="20"/>
                <w:szCs w:val="20"/>
              </w:rPr>
            </w:pPr>
          </w:p>
        </w:tc>
      </w:tr>
      <w:tr w:rsidR="002541AD" w14:paraId="3750E8C6" w14:textId="77777777">
        <w:tc>
          <w:tcPr>
            <w:tcW w:w="0" w:type="auto"/>
            <w:shd w:val="clear" w:color="auto" w:fill="auto"/>
            <w:tcMar>
              <w:top w:w="40" w:type="dxa"/>
              <w:left w:w="40" w:type="dxa"/>
              <w:bottom w:w="40" w:type="dxa"/>
              <w:right w:w="40" w:type="dxa"/>
            </w:tcMar>
          </w:tcPr>
          <w:p w14:paraId="3750E8A5"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Total assets measured and recorded at fair value</w:t>
            </w:r>
          </w:p>
        </w:tc>
        <w:tc>
          <w:tcPr>
            <w:tcW w:w="0" w:type="auto"/>
            <w:shd w:val="clear" w:color="auto" w:fill="auto"/>
            <w:tcMar>
              <w:top w:w="40" w:type="dxa"/>
              <w:left w:w="40" w:type="dxa"/>
              <w:bottom w:w="40" w:type="dxa"/>
              <w:right w:w="40" w:type="dxa"/>
            </w:tcMar>
            <w:vAlign w:val="bottom"/>
          </w:tcPr>
          <w:p w14:paraId="3750E8A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8A7"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8A8"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7,970</w:t>
            </w:r>
          </w:p>
        </w:tc>
        <w:tc>
          <w:tcPr>
            <w:tcW w:w="0" w:type="auto"/>
            <w:tcBorders>
              <w:top w:val="single" w:sz="8" w:space="0" w:color="333333"/>
              <w:bottom w:val="double" w:sz="6" w:space="0" w:color="333333"/>
            </w:tcBorders>
            <w:shd w:val="clear" w:color="auto" w:fill="auto"/>
            <w:vAlign w:val="bottom"/>
          </w:tcPr>
          <w:p w14:paraId="3750E8A9"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A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8AB"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8AC"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18,103</w:t>
            </w:r>
          </w:p>
        </w:tc>
        <w:tc>
          <w:tcPr>
            <w:tcW w:w="0" w:type="auto"/>
            <w:tcBorders>
              <w:top w:val="single" w:sz="8" w:space="0" w:color="333333"/>
              <w:bottom w:val="double" w:sz="6" w:space="0" w:color="333333"/>
            </w:tcBorders>
            <w:shd w:val="clear" w:color="auto" w:fill="auto"/>
            <w:vAlign w:val="bottom"/>
          </w:tcPr>
          <w:p w14:paraId="3750E8A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A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8AF"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8B0"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35</w:t>
            </w:r>
          </w:p>
        </w:tc>
        <w:tc>
          <w:tcPr>
            <w:tcW w:w="0" w:type="auto"/>
            <w:tcBorders>
              <w:top w:val="single" w:sz="8" w:space="0" w:color="333333"/>
              <w:bottom w:val="double" w:sz="6" w:space="0" w:color="333333"/>
            </w:tcBorders>
            <w:shd w:val="clear" w:color="auto" w:fill="auto"/>
            <w:vAlign w:val="bottom"/>
          </w:tcPr>
          <w:p w14:paraId="3750E8B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B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3750E8B3"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3750E8B4"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26,108</w:t>
            </w:r>
          </w:p>
        </w:tc>
        <w:tc>
          <w:tcPr>
            <w:tcW w:w="0" w:type="auto"/>
            <w:tcBorders>
              <w:bottom w:val="double" w:sz="6" w:space="0" w:color="333333"/>
            </w:tcBorders>
            <w:shd w:val="clear" w:color="auto" w:fill="auto"/>
            <w:vAlign w:val="bottom"/>
          </w:tcPr>
          <w:p w14:paraId="3750E8B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B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8B7"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8B8"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1,651</w:t>
            </w:r>
          </w:p>
        </w:tc>
        <w:tc>
          <w:tcPr>
            <w:tcW w:w="0" w:type="auto"/>
            <w:tcBorders>
              <w:top w:val="single" w:sz="8" w:space="0" w:color="333333"/>
              <w:bottom w:val="double" w:sz="6" w:space="0" w:color="333333"/>
            </w:tcBorders>
            <w:shd w:val="clear" w:color="auto" w:fill="auto"/>
            <w:vAlign w:val="bottom"/>
          </w:tcPr>
          <w:p w14:paraId="3750E8B9"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B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8BB"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8BC"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16,213</w:t>
            </w:r>
          </w:p>
        </w:tc>
        <w:tc>
          <w:tcPr>
            <w:tcW w:w="0" w:type="auto"/>
            <w:tcBorders>
              <w:top w:val="single" w:sz="8" w:space="0" w:color="333333"/>
              <w:bottom w:val="double" w:sz="6" w:space="0" w:color="333333"/>
            </w:tcBorders>
            <w:shd w:val="clear" w:color="auto" w:fill="auto"/>
            <w:vAlign w:val="bottom"/>
          </w:tcPr>
          <w:p w14:paraId="3750E8B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B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8BF"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8C0"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16</w:t>
            </w:r>
          </w:p>
        </w:tc>
        <w:tc>
          <w:tcPr>
            <w:tcW w:w="0" w:type="auto"/>
            <w:tcBorders>
              <w:top w:val="single" w:sz="8" w:space="0" w:color="333333"/>
              <w:bottom w:val="double" w:sz="6" w:space="0" w:color="333333"/>
            </w:tcBorders>
            <w:shd w:val="clear" w:color="auto" w:fill="auto"/>
            <w:vAlign w:val="bottom"/>
          </w:tcPr>
          <w:p w14:paraId="3750E8C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C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3750E8C3"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3750E8C4"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17,880</w:t>
            </w:r>
          </w:p>
        </w:tc>
        <w:tc>
          <w:tcPr>
            <w:tcW w:w="0" w:type="auto"/>
            <w:tcBorders>
              <w:bottom w:val="double" w:sz="6" w:space="0" w:color="333333"/>
            </w:tcBorders>
            <w:shd w:val="clear" w:color="auto" w:fill="auto"/>
            <w:vAlign w:val="bottom"/>
          </w:tcPr>
          <w:p w14:paraId="3750E8C5" w14:textId="77777777" w:rsidR="002541AD" w:rsidRDefault="002541AD">
            <w:pPr>
              <w:textAlignment w:val="bottom"/>
              <w:rPr>
                <w:rFonts w:ascii="Times New Roman" w:hAnsi="Times New Roman"/>
                <w:sz w:val="20"/>
                <w:szCs w:val="20"/>
              </w:rPr>
            </w:pPr>
          </w:p>
        </w:tc>
      </w:tr>
      <w:tr w:rsidR="002541AD" w14:paraId="3750E8D8" w14:textId="77777777">
        <w:tc>
          <w:tcPr>
            <w:tcW w:w="0" w:type="auto"/>
            <w:shd w:val="clear" w:color="auto" w:fill="auto"/>
            <w:tcMar>
              <w:top w:w="40" w:type="dxa"/>
              <w:left w:w="40" w:type="dxa"/>
              <w:bottom w:w="40" w:type="dxa"/>
              <w:right w:w="40" w:type="dxa"/>
            </w:tcMar>
          </w:tcPr>
          <w:p w14:paraId="3750E8C7" w14:textId="77777777" w:rsidR="002541AD" w:rsidRDefault="00901AA6">
            <w:pPr>
              <w:textAlignment w:val="top"/>
              <w:rPr>
                <w:rFonts w:ascii="Times New Roman" w:hAnsi="Times New Roman"/>
                <w:sz w:val="18"/>
                <w:szCs w:val="18"/>
              </w:rPr>
            </w:pPr>
            <w:r>
              <w:rPr>
                <w:rFonts w:ascii="Arial" w:eastAsia="宋体" w:hAnsi="Arial" w:cs="Arial"/>
                <w:b/>
                <w:bCs/>
                <w:color w:val="333333"/>
                <w:sz w:val="18"/>
                <w:szCs w:val="18"/>
              </w:rPr>
              <w:t>Liabili</w:t>
            </w:r>
            <w:r>
              <w:rPr>
                <w:rFonts w:ascii="Arial" w:eastAsia="宋体" w:hAnsi="Arial" w:cs="Arial"/>
                <w:b/>
                <w:bCs/>
                <w:color w:val="333333"/>
                <w:sz w:val="18"/>
                <w:szCs w:val="18"/>
              </w:rPr>
              <w:t>ties</w:t>
            </w:r>
          </w:p>
        </w:tc>
        <w:tc>
          <w:tcPr>
            <w:tcW w:w="0" w:type="auto"/>
            <w:shd w:val="clear" w:color="auto" w:fill="auto"/>
            <w:tcMar>
              <w:top w:w="40" w:type="dxa"/>
              <w:left w:w="40" w:type="dxa"/>
              <w:bottom w:w="40" w:type="dxa"/>
              <w:right w:w="40" w:type="dxa"/>
            </w:tcMar>
            <w:vAlign w:val="bottom"/>
          </w:tcPr>
          <w:p w14:paraId="3750E8C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C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C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C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C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C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C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C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D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D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D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D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D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D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D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D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8EA" w14:textId="77777777">
        <w:tc>
          <w:tcPr>
            <w:tcW w:w="0" w:type="auto"/>
            <w:shd w:val="clear" w:color="auto" w:fill="auto"/>
            <w:tcMar>
              <w:top w:w="40" w:type="dxa"/>
              <w:left w:w="40" w:type="dxa"/>
              <w:bottom w:w="40" w:type="dxa"/>
              <w:right w:w="40" w:type="dxa"/>
            </w:tcMar>
          </w:tcPr>
          <w:p w14:paraId="3750E8D9"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Other accrued liabilities:</w:t>
            </w:r>
          </w:p>
        </w:tc>
        <w:tc>
          <w:tcPr>
            <w:tcW w:w="0" w:type="auto"/>
            <w:shd w:val="clear" w:color="auto" w:fill="auto"/>
            <w:tcMar>
              <w:top w:w="40" w:type="dxa"/>
              <w:left w:w="40" w:type="dxa"/>
              <w:bottom w:w="40" w:type="dxa"/>
              <w:right w:w="40" w:type="dxa"/>
            </w:tcMar>
            <w:vAlign w:val="bottom"/>
          </w:tcPr>
          <w:p w14:paraId="3750E8D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D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D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D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D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D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E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E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E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E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E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E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E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E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8E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8E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90C" w14:textId="77777777">
        <w:tc>
          <w:tcPr>
            <w:tcW w:w="0" w:type="auto"/>
            <w:shd w:val="clear" w:color="auto" w:fill="auto"/>
            <w:tcMar>
              <w:top w:w="40" w:type="dxa"/>
              <w:left w:w="240" w:type="dxa"/>
              <w:bottom w:w="40" w:type="dxa"/>
              <w:right w:w="40" w:type="dxa"/>
            </w:tcMar>
          </w:tcPr>
          <w:p w14:paraId="3750E8EB"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Derivative liabilities</w:t>
            </w:r>
          </w:p>
        </w:tc>
        <w:tc>
          <w:tcPr>
            <w:tcW w:w="0" w:type="auto"/>
            <w:shd w:val="clear" w:color="auto" w:fill="auto"/>
            <w:tcMar>
              <w:top w:w="40" w:type="dxa"/>
              <w:left w:w="40" w:type="dxa"/>
              <w:bottom w:w="40" w:type="dxa"/>
              <w:right w:w="40" w:type="dxa"/>
            </w:tcMar>
            <w:vAlign w:val="bottom"/>
          </w:tcPr>
          <w:p w14:paraId="3750E8E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8ED"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8EE"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190</w:t>
            </w:r>
          </w:p>
        </w:tc>
        <w:tc>
          <w:tcPr>
            <w:tcW w:w="0" w:type="auto"/>
            <w:shd w:val="clear" w:color="auto" w:fill="auto"/>
            <w:vAlign w:val="bottom"/>
          </w:tcPr>
          <w:p w14:paraId="3750E8E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F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8F1"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8F2"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614</w:t>
            </w:r>
          </w:p>
        </w:tc>
        <w:tc>
          <w:tcPr>
            <w:tcW w:w="0" w:type="auto"/>
            <w:shd w:val="clear" w:color="auto" w:fill="auto"/>
            <w:vAlign w:val="bottom"/>
          </w:tcPr>
          <w:p w14:paraId="3750E8F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F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8F5"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8F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8F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F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8F9"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8F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804</w:t>
            </w:r>
          </w:p>
        </w:tc>
        <w:tc>
          <w:tcPr>
            <w:tcW w:w="0" w:type="auto"/>
            <w:shd w:val="clear" w:color="auto" w:fill="auto"/>
            <w:vAlign w:val="bottom"/>
          </w:tcPr>
          <w:p w14:paraId="3750E8F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8F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8FD"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8F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w:t>
            </w:r>
          </w:p>
        </w:tc>
        <w:tc>
          <w:tcPr>
            <w:tcW w:w="0" w:type="auto"/>
            <w:shd w:val="clear" w:color="auto" w:fill="auto"/>
            <w:vAlign w:val="bottom"/>
          </w:tcPr>
          <w:p w14:paraId="3750E8F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0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901"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90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287</w:t>
            </w:r>
          </w:p>
        </w:tc>
        <w:tc>
          <w:tcPr>
            <w:tcW w:w="0" w:type="auto"/>
            <w:shd w:val="clear" w:color="auto" w:fill="auto"/>
            <w:vAlign w:val="bottom"/>
          </w:tcPr>
          <w:p w14:paraId="3750E90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0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905"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90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90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0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909"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90A"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290</w:t>
            </w:r>
          </w:p>
        </w:tc>
        <w:tc>
          <w:tcPr>
            <w:tcW w:w="0" w:type="auto"/>
            <w:shd w:val="clear" w:color="auto" w:fill="auto"/>
            <w:vAlign w:val="bottom"/>
          </w:tcPr>
          <w:p w14:paraId="3750E90B" w14:textId="77777777" w:rsidR="002541AD" w:rsidRDefault="002541AD">
            <w:pPr>
              <w:textAlignment w:val="bottom"/>
              <w:rPr>
                <w:rFonts w:ascii="Times New Roman" w:hAnsi="Times New Roman"/>
                <w:sz w:val="20"/>
                <w:szCs w:val="20"/>
              </w:rPr>
            </w:pPr>
          </w:p>
        </w:tc>
      </w:tr>
      <w:tr w:rsidR="002541AD" w14:paraId="3750E91E" w14:textId="77777777">
        <w:tc>
          <w:tcPr>
            <w:tcW w:w="0" w:type="auto"/>
            <w:shd w:val="clear" w:color="auto" w:fill="auto"/>
            <w:tcMar>
              <w:top w:w="40" w:type="dxa"/>
              <w:left w:w="40" w:type="dxa"/>
              <w:bottom w:w="40" w:type="dxa"/>
              <w:right w:w="40" w:type="dxa"/>
            </w:tcMar>
          </w:tcPr>
          <w:p w14:paraId="3750E90D"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Other long-term liabilities:</w:t>
            </w:r>
          </w:p>
        </w:tc>
        <w:tc>
          <w:tcPr>
            <w:tcW w:w="0" w:type="auto"/>
            <w:shd w:val="clear" w:color="auto" w:fill="auto"/>
            <w:tcMar>
              <w:top w:w="40" w:type="dxa"/>
              <w:left w:w="40" w:type="dxa"/>
              <w:bottom w:w="40" w:type="dxa"/>
              <w:right w:w="40" w:type="dxa"/>
            </w:tcMar>
            <w:vAlign w:val="bottom"/>
          </w:tcPr>
          <w:p w14:paraId="3750E90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90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91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91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91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91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91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91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91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91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91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91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91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91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91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91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938" w14:textId="77777777">
        <w:tc>
          <w:tcPr>
            <w:tcW w:w="0" w:type="auto"/>
            <w:shd w:val="clear" w:color="auto" w:fill="auto"/>
            <w:tcMar>
              <w:top w:w="40" w:type="dxa"/>
              <w:left w:w="240" w:type="dxa"/>
              <w:bottom w:w="40" w:type="dxa"/>
              <w:right w:w="40" w:type="dxa"/>
            </w:tcMar>
          </w:tcPr>
          <w:p w14:paraId="3750E91F"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Derivative liabilities</w:t>
            </w:r>
          </w:p>
        </w:tc>
        <w:tc>
          <w:tcPr>
            <w:tcW w:w="0" w:type="auto"/>
            <w:shd w:val="clear" w:color="auto" w:fill="auto"/>
            <w:tcMar>
              <w:top w:w="40" w:type="dxa"/>
              <w:left w:w="40" w:type="dxa"/>
              <w:bottom w:w="40" w:type="dxa"/>
              <w:right w:w="40" w:type="dxa"/>
            </w:tcMar>
            <w:vAlign w:val="bottom"/>
          </w:tcPr>
          <w:p w14:paraId="3750E92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92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92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2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924"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106</w:t>
            </w:r>
          </w:p>
        </w:tc>
        <w:tc>
          <w:tcPr>
            <w:tcW w:w="0" w:type="auto"/>
            <w:shd w:val="clear" w:color="auto" w:fill="auto"/>
            <w:vAlign w:val="bottom"/>
          </w:tcPr>
          <w:p w14:paraId="3750E92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2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92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92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2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E92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106</w:t>
            </w:r>
          </w:p>
        </w:tc>
        <w:tc>
          <w:tcPr>
            <w:tcW w:w="0" w:type="auto"/>
            <w:tcBorders>
              <w:bottom w:val="single" w:sz="8" w:space="0" w:color="333333"/>
            </w:tcBorders>
            <w:shd w:val="clear" w:color="auto" w:fill="auto"/>
            <w:vAlign w:val="bottom"/>
          </w:tcPr>
          <w:p w14:paraId="3750E92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2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92D"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92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2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930"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13</w:t>
            </w:r>
          </w:p>
        </w:tc>
        <w:tc>
          <w:tcPr>
            <w:tcW w:w="0" w:type="auto"/>
            <w:shd w:val="clear" w:color="auto" w:fill="auto"/>
            <w:vAlign w:val="bottom"/>
          </w:tcPr>
          <w:p w14:paraId="3750E93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3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933"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93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3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E93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13</w:t>
            </w:r>
          </w:p>
        </w:tc>
        <w:tc>
          <w:tcPr>
            <w:tcW w:w="0" w:type="auto"/>
            <w:tcBorders>
              <w:bottom w:val="single" w:sz="8" w:space="0" w:color="333333"/>
            </w:tcBorders>
            <w:shd w:val="clear" w:color="auto" w:fill="auto"/>
            <w:vAlign w:val="bottom"/>
          </w:tcPr>
          <w:p w14:paraId="3750E937" w14:textId="77777777" w:rsidR="002541AD" w:rsidRDefault="002541AD">
            <w:pPr>
              <w:textAlignment w:val="bottom"/>
              <w:rPr>
                <w:rFonts w:ascii="Times New Roman" w:hAnsi="Times New Roman"/>
                <w:sz w:val="20"/>
                <w:szCs w:val="20"/>
              </w:rPr>
            </w:pPr>
          </w:p>
        </w:tc>
      </w:tr>
      <w:tr w:rsidR="002541AD" w14:paraId="3750E95A" w14:textId="77777777">
        <w:tc>
          <w:tcPr>
            <w:tcW w:w="0" w:type="auto"/>
            <w:shd w:val="clear" w:color="auto" w:fill="auto"/>
            <w:tcMar>
              <w:top w:w="40" w:type="dxa"/>
              <w:left w:w="40" w:type="dxa"/>
              <w:bottom w:w="40" w:type="dxa"/>
              <w:right w:w="40" w:type="dxa"/>
            </w:tcMar>
          </w:tcPr>
          <w:p w14:paraId="3750E939"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Total liabilities measured and recorded at fair value</w:t>
            </w:r>
          </w:p>
        </w:tc>
        <w:tc>
          <w:tcPr>
            <w:tcW w:w="0" w:type="auto"/>
            <w:shd w:val="clear" w:color="auto" w:fill="auto"/>
            <w:tcMar>
              <w:top w:w="40" w:type="dxa"/>
              <w:left w:w="40" w:type="dxa"/>
              <w:bottom w:w="40" w:type="dxa"/>
              <w:right w:w="40" w:type="dxa"/>
            </w:tcMar>
            <w:vAlign w:val="bottom"/>
          </w:tcPr>
          <w:p w14:paraId="3750E93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93B"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93C"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190</w:t>
            </w:r>
          </w:p>
        </w:tc>
        <w:tc>
          <w:tcPr>
            <w:tcW w:w="0" w:type="auto"/>
            <w:tcBorders>
              <w:top w:val="single" w:sz="8" w:space="0" w:color="333333"/>
              <w:bottom w:val="double" w:sz="6" w:space="0" w:color="333333"/>
            </w:tcBorders>
            <w:shd w:val="clear" w:color="auto" w:fill="auto"/>
            <w:vAlign w:val="bottom"/>
          </w:tcPr>
          <w:p w14:paraId="3750E93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3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93F"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940"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720</w:t>
            </w:r>
          </w:p>
        </w:tc>
        <w:tc>
          <w:tcPr>
            <w:tcW w:w="0" w:type="auto"/>
            <w:tcBorders>
              <w:top w:val="single" w:sz="8" w:space="0" w:color="333333"/>
              <w:bottom w:val="double" w:sz="6" w:space="0" w:color="333333"/>
            </w:tcBorders>
            <w:shd w:val="clear" w:color="auto" w:fill="auto"/>
            <w:vAlign w:val="bottom"/>
          </w:tcPr>
          <w:p w14:paraId="3750E94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4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943"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944"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vAlign w:val="bottom"/>
          </w:tcPr>
          <w:p w14:paraId="3750E94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4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947"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948"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910</w:t>
            </w:r>
          </w:p>
        </w:tc>
        <w:tc>
          <w:tcPr>
            <w:tcW w:w="0" w:type="auto"/>
            <w:tcBorders>
              <w:top w:val="single" w:sz="8" w:space="0" w:color="333333"/>
              <w:bottom w:val="double" w:sz="6" w:space="0" w:color="333333"/>
            </w:tcBorders>
            <w:shd w:val="clear" w:color="auto" w:fill="auto"/>
            <w:vAlign w:val="bottom"/>
          </w:tcPr>
          <w:p w14:paraId="3750E949"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4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94B"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94C"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3</w:t>
            </w:r>
          </w:p>
        </w:tc>
        <w:tc>
          <w:tcPr>
            <w:tcW w:w="0" w:type="auto"/>
            <w:tcBorders>
              <w:top w:val="single" w:sz="8" w:space="0" w:color="333333"/>
              <w:bottom w:val="double" w:sz="6" w:space="0" w:color="333333"/>
            </w:tcBorders>
            <w:shd w:val="clear" w:color="auto" w:fill="auto"/>
            <w:vAlign w:val="bottom"/>
          </w:tcPr>
          <w:p w14:paraId="3750E94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4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94F"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950"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300</w:t>
            </w:r>
          </w:p>
        </w:tc>
        <w:tc>
          <w:tcPr>
            <w:tcW w:w="0" w:type="auto"/>
            <w:tcBorders>
              <w:top w:val="single" w:sz="8" w:space="0" w:color="333333"/>
              <w:bottom w:val="double" w:sz="6" w:space="0" w:color="333333"/>
            </w:tcBorders>
            <w:shd w:val="clear" w:color="auto" w:fill="auto"/>
            <w:vAlign w:val="bottom"/>
          </w:tcPr>
          <w:p w14:paraId="3750E95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5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953"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954"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vAlign w:val="bottom"/>
          </w:tcPr>
          <w:p w14:paraId="3750E95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5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957"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958"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303</w:t>
            </w:r>
          </w:p>
        </w:tc>
        <w:tc>
          <w:tcPr>
            <w:tcW w:w="0" w:type="auto"/>
            <w:tcBorders>
              <w:top w:val="single" w:sz="8" w:space="0" w:color="333333"/>
              <w:bottom w:val="double" w:sz="6" w:space="0" w:color="333333"/>
            </w:tcBorders>
            <w:shd w:val="clear" w:color="auto" w:fill="auto"/>
            <w:vAlign w:val="bottom"/>
          </w:tcPr>
          <w:p w14:paraId="3750E959" w14:textId="77777777" w:rsidR="002541AD" w:rsidRDefault="002541AD">
            <w:pPr>
              <w:textAlignment w:val="bottom"/>
              <w:rPr>
                <w:rFonts w:ascii="Times New Roman" w:hAnsi="Times New Roman"/>
                <w:sz w:val="20"/>
                <w:szCs w:val="20"/>
              </w:rPr>
            </w:pPr>
          </w:p>
        </w:tc>
      </w:tr>
    </w:tbl>
    <w:p w14:paraId="3750E95B" w14:textId="77777777" w:rsidR="002541AD" w:rsidRDefault="002541AD">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2541AD" w14:paraId="3750E95E" w14:textId="77777777">
        <w:trPr>
          <w:tblCellSpacing w:w="0" w:type="dxa"/>
        </w:trPr>
        <w:tc>
          <w:tcPr>
            <w:tcW w:w="720" w:type="dxa"/>
            <w:shd w:val="clear" w:color="auto" w:fill="auto"/>
            <w:vAlign w:val="center"/>
          </w:tcPr>
          <w:p w14:paraId="3750E95C" w14:textId="77777777" w:rsidR="002541AD" w:rsidRDefault="002541AD">
            <w:pPr>
              <w:rPr>
                <w:rFonts w:ascii="Times New Roman" w:hAnsi="Times New Roman"/>
                <w:sz w:val="20"/>
                <w:szCs w:val="20"/>
              </w:rPr>
            </w:pPr>
          </w:p>
        </w:tc>
        <w:tc>
          <w:tcPr>
            <w:tcW w:w="0" w:type="auto"/>
            <w:shd w:val="clear" w:color="auto" w:fill="auto"/>
            <w:vAlign w:val="center"/>
          </w:tcPr>
          <w:p w14:paraId="3750E95D" w14:textId="77777777" w:rsidR="002541AD" w:rsidRDefault="002541AD">
            <w:pPr>
              <w:rPr>
                <w:rFonts w:ascii="Times New Roman" w:hAnsi="Times New Roman"/>
                <w:sz w:val="20"/>
                <w:szCs w:val="20"/>
              </w:rPr>
            </w:pPr>
          </w:p>
        </w:tc>
      </w:tr>
      <w:tr w:rsidR="002541AD" w14:paraId="3750E961" w14:textId="77777777">
        <w:trPr>
          <w:tblCellSpacing w:w="0" w:type="dxa"/>
        </w:trPr>
        <w:tc>
          <w:tcPr>
            <w:tcW w:w="0" w:type="auto"/>
            <w:shd w:val="clear" w:color="auto" w:fill="auto"/>
          </w:tcPr>
          <w:p w14:paraId="3750E95F"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0"/>
                <w:szCs w:val="10"/>
              </w:rPr>
              <w:t>1</w:t>
            </w:r>
            <w:r>
              <w:rPr>
                <w:rFonts w:ascii="Arial" w:eastAsia="宋体" w:hAnsi="Arial" w:cs="Arial"/>
                <w:i/>
                <w:iCs/>
                <w:color w:val="333333"/>
                <w:sz w:val="16"/>
                <w:szCs w:val="16"/>
              </w:rPr>
              <w:t> </w:t>
            </w:r>
          </w:p>
        </w:tc>
        <w:tc>
          <w:tcPr>
            <w:tcW w:w="0" w:type="auto"/>
            <w:shd w:val="clear" w:color="auto" w:fill="auto"/>
          </w:tcPr>
          <w:p w14:paraId="3750E960"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6"/>
                <w:szCs w:val="16"/>
              </w:rPr>
              <w:t>Level 1 investments consist of money market funds. Level 2 investments consist primarily of commercial paper, certificates of deposit, time deposits, and notes and bonds issued by financial institutions.</w:t>
            </w:r>
          </w:p>
        </w:tc>
      </w:tr>
    </w:tbl>
    <w:p w14:paraId="3750E962" w14:textId="77777777" w:rsidR="002541AD" w:rsidRDefault="002541AD">
      <w:pPr>
        <w:rPr>
          <w:vanish/>
        </w:rPr>
      </w:pPr>
    </w:p>
    <w:tbl>
      <w:tblPr>
        <w:tblW w:w="0" w:type="auto"/>
        <w:tblCellSpacing w:w="0" w:type="dxa"/>
        <w:tblCellMar>
          <w:left w:w="0" w:type="dxa"/>
          <w:right w:w="0" w:type="dxa"/>
        </w:tblCellMar>
        <w:tblLook w:val="04A0" w:firstRow="1" w:lastRow="0" w:firstColumn="1" w:lastColumn="0" w:noHBand="0" w:noVBand="1"/>
      </w:tblPr>
      <w:tblGrid>
        <w:gridCol w:w="720"/>
        <w:gridCol w:w="6413"/>
      </w:tblGrid>
      <w:tr w:rsidR="002541AD" w14:paraId="3750E965" w14:textId="77777777">
        <w:trPr>
          <w:tblCellSpacing w:w="0" w:type="dxa"/>
        </w:trPr>
        <w:tc>
          <w:tcPr>
            <w:tcW w:w="720" w:type="dxa"/>
            <w:shd w:val="clear" w:color="auto" w:fill="auto"/>
            <w:vAlign w:val="center"/>
          </w:tcPr>
          <w:p w14:paraId="3750E963" w14:textId="77777777" w:rsidR="002541AD" w:rsidRDefault="002541AD">
            <w:pPr>
              <w:rPr>
                <w:rFonts w:ascii="Times New Roman" w:hAnsi="Times New Roman"/>
                <w:sz w:val="20"/>
                <w:szCs w:val="20"/>
              </w:rPr>
            </w:pPr>
          </w:p>
        </w:tc>
        <w:tc>
          <w:tcPr>
            <w:tcW w:w="0" w:type="auto"/>
            <w:shd w:val="clear" w:color="auto" w:fill="auto"/>
            <w:vAlign w:val="center"/>
          </w:tcPr>
          <w:p w14:paraId="3750E964" w14:textId="77777777" w:rsidR="002541AD" w:rsidRDefault="002541AD">
            <w:pPr>
              <w:rPr>
                <w:rFonts w:ascii="Times New Roman" w:hAnsi="Times New Roman"/>
                <w:sz w:val="20"/>
                <w:szCs w:val="20"/>
              </w:rPr>
            </w:pPr>
          </w:p>
        </w:tc>
      </w:tr>
      <w:tr w:rsidR="002541AD" w14:paraId="3750E968" w14:textId="77777777">
        <w:trPr>
          <w:tblCellSpacing w:w="0" w:type="dxa"/>
        </w:trPr>
        <w:tc>
          <w:tcPr>
            <w:tcW w:w="0" w:type="auto"/>
            <w:shd w:val="clear" w:color="auto" w:fill="auto"/>
          </w:tcPr>
          <w:p w14:paraId="3750E966"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0"/>
                <w:szCs w:val="10"/>
              </w:rPr>
              <w:t>2</w:t>
            </w:r>
            <w:r>
              <w:rPr>
                <w:rFonts w:ascii="Arial" w:eastAsia="宋体" w:hAnsi="Arial" w:cs="Arial"/>
                <w:i/>
                <w:iCs/>
                <w:color w:val="333333"/>
                <w:sz w:val="16"/>
                <w:szCs w:val="16"/>
              </w:rPr>
              <w:t> </w:t>
            </w:r>
          </w:p>
        </w:tc>
        <w:tc>
          <w:tcPr>
            <w:tcW w:w="0" w:type="auto"/>
            <w:shd w:val="clear" w:color="auto" w:fill="auto"/>
          </w:tcPr>
          <w:p w14:paraId="3750E967"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Level 2 investments </w:t>
            </w:r>
            <w:r>
              <w:rPr>
                <w:rFonts w:ascii="Arial" w:eastAsia="宋体" w:hAnsi="Arial" w:cs="Arial"/>
                <w:i/>
                <w:iCs/>
                <w:color w:val="333333"/>
                <w:sz w:val="16"/>
                <w:szCs w:val="16"/>
              </w:rPr>
              <w:t>consist primarily of U.S. agency notes and non-U.S. government debt.</w:t>
            </w:r>
          </w:p>
        </w:tc>
      </w:tr>
    </w:tbl>
    <w:p w14:paraId="3750E969" w14:textId="77777777" w:rsidR="002541AD" w:rsidRDefault="002541AD">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2541AD" w14:paraId="3750E96C" w14:textId="77777777">
        <w:trPr>
          <w:tblCellSpacing w:w="0" w:type="dxa"/>
        </w:trPr>
        <w:tc>
          <w:tcPr>
            <w:tcW w:w="720" w:type="dxa"/>
            <w:shd w:val="clear" w:color="auto" w:fill="auto"/>
            <w:vAlign w:val="center"/>
          </w:tcPr>
          <w:p w14:paraId="3750E96A" w14:textId="77777777" w:rsidR="002541AD" w:rsidRDefault="002541AD">
            <w:pPr>
              <w:rPr>
                <w:rFonts w:ascii="Times New Roman" w:hAnsi="Times New Roman"/>
                <w:sz w:val="20"/>
                <w:szCs w:val="20"/>
              </w:rPr>
            </w:pPr>
          </w:p>
        </w:tc>
        <w:tc>
          <w:tcPr>
            <w:tcW w:w="0" w:type="auto"/>
            <w:shd w:val="clear" w:color="auto" w:fill="auto"/>
            <w:vAlign w:val="center"/>
          </w:tcPr>
          <w:p w14:paraId="3750E96B" w14:textId="77777777" w:rsidR="002541AD" w:rsidRDefault="002541AD">
            <w:pPr>
              <w:rPr>
                <w:rFonts w:ascii="Times New Roman" w:hAnsi="Times New Roman"/>
                <w:sz w:val="20"/>
                <w:szCs w:val="20"/>
              </w:rPr>
            </w:pPr>
          </w:p>
        </w:tc>
      </w:tr>
      <w:tr w:rsidR="002541AD" w14:paraId="3750E96F" w14:textId="77777777">
        <w:trPr>
          <w:tblCellSpacing w:w="0" w:type="dxa"/>
        </w:trPr>
        <w:tc>
          <w:tcPr>
            <w:tcW w:w="0" w:type="auto"/>
            <w:shd w:val="clear" w:color="auto" w:fill="auto"/>
          </w:tcPr>
          <w:p w14:paraId="3750E96D"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0"/>
                <w:szCs w:val="10"/>
              </w:rPr>
              <w:t>3</w:t>
            </w:r>
            <w:r>
              <w:rPr>
                <w:rFonts w:ascii="Arial" w:eastAsia="宋体" w:hAnsi="Arial" w:cs="Arial"/>
                <w:i/>
                <w:iCs/>
                <w:color w:val="333333"/>
                <w:sz w:val="16"/>
                <w:szCs w:val="16"/>
              </w:rPr>
              <w:t> </w:t>
            </w:r>
          </w:p>
        </w:tc>
        <w:tc>
          <w:tcPr>
            <w:tcW w:w="0" w:type="auto"/>
            <w:shd w:val="clear" w:color="auto" w:fill="auto"/>
          </w:tcPr>
          <w:p w14:paraId="3750E96E"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The fair value of our loans receivable for which we elected the fair value option did not significantly differ from the contractual principal balance based on the </w:t>
            </w:r>
            <w:r>
              <w:rPr>
                <w:rFonts w:ascii="Arial" w:eastAsia="宋体" w:hAnsi="Arial" w:cs="Arial"/>
                <w:i/>
                <w:iCs/>
                <w:color w:val="333333"/>
                <w:sz w:val="16"/>
                <w:szCs w:val="16"/>
              </w:rPr>
              <w:t>contractual currency.</w:t>
            </w:r>
          </w:p>
        </w:tc>
      </w:tr>
    </w:tbl>
    <w:p w14:paraId="3750E970"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E972" w14:textId="77777777">
        <w:tc>
          <w:tcPr>
            <w:tcW w:w="0" w:type="auto"/>
            <w:gridSpan w:val="3"/>
            <w:shd w:val="clear" w:color="auto" w:fill="auto"/>
            <w:vAlign w:val="center"/>
          </w:tcPr>
          <w:p w14:paraId="3750E971" w14:textId="77777777" w:rsidR="002541AD" w:rsidRDefault="002541AD">
            <w:pPr>
              <w:rPr>
                <w:rFonts w:ascii="Times New Roman" w:hAnsi="Times New Roman"/>
                <w:sz w:val="20"/>
                <w:szCs w:val="20"/>
              </w:rPr>
            </w:pPr>
          </w:p>
        </w:tc>
      </w:tr>
      <w:tr w:rsidR="002541AD" w14:paraId="3750E976" w14:textId="77777777">
        <w:tc>
          <w:tcPr>
            <w:tcW w:w="1550" w:type="pct"/>
            <w:shd w:val="clear" w:color="auto" w:fill="auto"/>
            <w:vAlign w:val="center"/>
          </w:tcPr>
          <w:p w14:paraId="3750E973" w14:textId="77777777" w:rsidR="002541AD" w:rsidRDefault="002541AD">
            <w:pPr>
              <w:rPr>
                <w:rFonts w:ascii="Times New Roman" w:hAnsi="Times New Roman"/>
                <w:sz w:val="20"/>
                <w:szCs w:val="20"/>
              </w:rPr>
            </w:pPr>
          </w:p>
        </w:tc>
        <w:tc>
          <w:tcPr>
            <w:tcW w:w="2200" w:type="pct"/>
            <w:shd w:val="clear" w:color="auto" w:fill="auto"/>
            <w:vAlign w:val="center"/>
          </w:tcPr>
          <w:p w14:paraId="3750E974" w14:textId="77777777" w:rsidR="002541AD" w:rsidRDefault="002541AD">
            <w:pPr>
              <w:rPr>
                <w:rFonts w:ascii="Times New Roman" w:hAnsi="Times New Roman"/>
                <w:sz w:val="20"/>
                <w:szCs w:val="20"/>
              </w:rPr>
            </w:pPr>
          </w:p>
        </w:tc>
        <w:tc>
          <w:tcPr>
            <w:tcW w:w="1250" w:type="pct"/>
            <w:shd w:val="clear" w:color="auto" w:fill="auto"/>
            <w:vAlign w:val="center"/>
          </w:tcPr>
          <w:p w14:paraId="3750E975" w14:textId="77777777" w:rsidR="002541AD" w:rsidRDefault="002541AD">
            <w:pPr>
              <w:rPr>
                <w:rFonts w:ascii="Times New Roman" w:hAnsi="Times New Roman"/>
                <w:sz w:val="20"/>
                <w:szCs w:val="20"/>
              </w:rPr>
            </w:pPr>
          </w:p>
        </w:tc>
      </w:tr>
      <w:tr w:rsidR="002541AD" w14:paraId="3750E97A" w14:textId="77777777">
        <w:tc>
          <w:tcPr>
            <w:tcW w:w="0" w:type="auto"/>
            <w:tcBorders>
              <w:top w:val="single" w:sz="8" w:space="0" w:color="0071C5"/>
              <w:right w:val="single" w:sz="24" w:space="0" w:color="0071C5"/>
            </w:tcBorders>
            <w:shd w:val="clear" w:color="auto" w:fill="auto"/>
            <w:tcMar>
              <w:top w:w="40" w:type="dxa"/>
              <w:left w:w="40" w:type="dxa"/>
              <w:bottom w:w="40" w:type="dxa"/>
              <w:right w:w="40" w:type="dxa"/>
            </w:tcMar>
            <w:vAlign w:val="center"/>
          </w:tcPr>
          <w:p w14:paraId="3750E977"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77" wp14:editId="3750F878">
                  <wp:extent cx="304800" cy="304800"/>
                  <wp:effectExtent l="0" t="0" r="0" b="0"/>
                  <wp:docPr id="99" name="图片 77"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7"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978"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979"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19</w:t>
            </w:r>
          </w:p>
        </w:tc>
      </w:tr>
    </w:tbl>
    <w:p w14:paraId="3750E97B" w14:textId="77777777" w:rsidR="002541AD" w:rsidRDefault="002541AD">
      <w:pPr>
        <w:spacing w:line="288" w:lineRule="auto"/>
        <w:rPr>
          <w:rFonts w:ascii="Times New Roman" w:hAnsi="Times New Roman"/>
          <w:sz w:val="18"/>
          <w:szCs w:val="18"/>
        </w:rPr>
      </w:pPr>
    </w:p>
    <w:p w14:paraId="3750E97C" w14:textId="77777777" w:rsidR="002541AD" w:rsidRDefault="002541AD">
      <w:pPr>
        <w:spacing w:line="288" w:lineRule="auto"/>
        <w:rPr>
          <w:rFonts w:ascii="Times New Roman" w:hAnsi="Times New Roman"/>
          <w:sz w:val="18"/>
          <w:szCs w:val="18"/>
        </w:rPr>
      </w:pPr>
    </w:p>
    <w:p w14:paraId="3750E97D" w14:textId="77777777" w:rsidR="002541AD" w:rsidRDefault="00901AA6">
      <w:r>
        <w:rPr>
          <w:rFonts w:ascii="Times New Roman" w:hAnsi="Times New Roman"/>
          <w:sz w:val="18"/>
          <w:szCs w:val="18"/>
        </w:rPr>
        <w:pict w14:anchorId="3750F879">
          <v:rect id="_x0000_i1045" style="width:415.3pt;height:1.5pt" o:hralign="center" o:hrstd="t" o:hr="t" fillcolor="#a0a0a0" stroked="f"/>
        </w:pict>
      </w:r>
    </w:p>
    <w:p w14:paraId="3750E97E" w14:textId="77777777" w:rsidR="002541AD" w:rsidRDefault="00901AA6">
      <w:pPr>
        <w:spacing w:line="288" w:lineRule="auto"/>
        <w:jc w:val="right"/>
        <w:rPr>
          <w:rFonts w:ascii="Times New Roman" w:hAnsi="Times New Roman"/>
          <w:sz w:val="16"/>
          <w:szCs w:val="16"/>
        </w:rPr>
      </w:pPr>
      <w:hyperlink r:id="rId48" w:anchor="s2CABEAF4222C52B4A34547BF538A8C27" w:history="1">
        <w:r>
          <w:rPr>
            <w:rStyle w:val="a5"/>
            <w:rFonts w:ascii="Arial" w:eastAsia="宋体" w:hAnsi="Arial" w:cs="Arial"/>
            <w:b/>
            <w:bCs/>
            <w:sz w:val="16"/>
            <w:szCs w:val="16"/>
          </w:rPr>
          <w:t>Table of Contents</w:t>
        </w:r>
      </w:hyperlink>
    </w:p>
    <w:p w14:paraId="3750E97F" w14:textId="77777777" w:rsidR="002541AD" w:rsidRDefault="002541AD">
      <w:pPr>
        <w:spacing w:line="288" w:lineRule="auto"/>
        <w:jc w:val="right"/>
        <w:rPr>
          <w:rFonts w:ascii="Times New Roman" w:hAnsi="Times New Roman"/>
          <w:sz w:val="18"/>
          <w:szCs w:val="18"/>
        </w:rPr>
      </w:pPr>
    </w:p>
    <w:p w14:paraId="3750E980" w14:textId="77777777" w:rsidR="002541AD" w:rsidRDefault="002541AD">
      <w:pPr>
        <w:rPr>
          <w:rFonts w:ascii="Times New Roman" w:hAnsi="Times New Roman"/>
          <w:sz w:val="20"/>
          <w:szCs w:val="20"/>
        </w:rPr>
      </w:pPr>
    </w:p>
    <w:p w14:paraId="3750E981" w14:textId="77777777" w:rsidR="002541AD" w:rsidRDefault="00901AA6">
      <w:pPr>
        <w:spacing w:line="288" w:lineRule="auto"/>
        <w:rPr>
          <w:rFonts w:ascii="Times New Roman" w:hAnsi="Times New Roman"/>
        </w:rPr>
      </w:pPr>
      <w:r>
        <w:rPr>
          <w:rFonts w:ascii="Arial" w:eastAsia="宋体" w:hAnsi="Arial" w:cs="Arial"/>
          <w:b/>
          <w:bCs/>
          <w:color w:val="0071C5"/>
        </w:rPr>
        <w:t>ASSETS MEASURED AND RECORDED AT FAIR VALUE ON A NON-RECURRING BASIS</w:t>
      </w:r>
    </w:p>
    <w:p w14:paraId="3750E982"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Our non-</w:t>
      </w:r>
      <w:r>
        <w:rPr>
          <w:rFonts w:ascii="Arial" w:eastAsia="宋体" w:hAnsi="Arial" w:cs="Arial"/>
          <w:color w:val="333333"/>
          <w:sz w:val="18"/>
          <w:szCs w:val="18"/>
        </w:rPr>
        <w:t>marketable equity securities, equity method investments, and certain non-financial assets, such as intangible assets and property, plant and equipment, are recorded at fair value only if an impairment or observable price adjustment is recognized in the cur</w:t>
      </w:r>
      <w:r>
        <w:rPr>
          <w:rFonts w:ascii="Arial" w:eastAsia="宋体" w:hAnsi="Arial" w:cs="Arial"/>
          <w:color w:val="333333"/>
          <w:sz w:val="18"/>
          <w:szCs w:val="18"/>
        </w:rPr>
        <w:t xml:space="preserve">rent period. If an observable price adjustment or impairment is recognized on our non-marketable equity securities during the period, we classify these assets as Level 3 within the fair value hierarchy based on the nature of the fair value inputs. </w:t>
      </w:r>
    </w:p>
    <w:p w14:paraId="3750E983" w14:textId="77777777" w:rsidR="002541AD" w:rsidRDefault="00901AA6">
      <w:pPr>
        <w:spacing w:line="288" w:lineRule="auto"/>
        <w:rPr>
          <w:rFonts w:ascii="Times New Roman" w:hAnsi="Times New Roman"/>
        </w:rPr>
      </w:pPr>
      <w:r>
        <w:rPr>
          <w:rFonts w:ascii="Arial" w:eastAsia="宋体" w:hAnsi="Arial" w:cs="Arial"/>
          <w:b/>
          <w:bCs/>
          <w:color w:val="0071C5"/>
        </w:rPr>
        <w:t>FINANCI</w:t>
      </w:r>
      <w:r>
        <w:rPr>
          <w:rFonts w:ascii="Arial" w:eastAsia="宋体" w:hAnsi="Arial" w:cs="Arial"/>
          <w:b/>
          <w:bCs/>
          <w:color w:val="0071C5"/>
        </w:rPr>
        <w:t>AL INSTRUMENTS NOT RECORDED AT FAIR VALUE ON A RECURRING BASIS</w:t>
      </w:r>
    </w:p>
    <w:p w14:paraId="3750E984"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Financial instruments not recorded at fair value on a recurring basis include non-marketable equity securities and equity method investments that have not been remeasured or impaired in the </w:t>
      </w:r>
      <w:r>
        <w:rPr>
          <w:rFonts w:ascii="Arial" w:eastAsia="宋体" w:hAnsi="Arial" w:cs="Arial"/>
          <w:color w:val="333333"/>
          <w:sz w:val="18"/>
          <w:szCs w:val="18"/>
        </w:rPr>
        <w:t>current period, grants receivable, loans receivable, reverse repurchase agreements, and issued debt.</w:t>
      </w:r>
    </w:p>
    <w:p w14:paraId="3750E985"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As of March 28, 2020, the aggregate carrying value of grants receivable, loans receivable, and reverse repurchase agreements was $534 million ($543 million</w:t>
      </w:r>
      <w:r>
        <w:rPr>
          <w:rFonts w:ascii="Arial" w:eastAsia="宋体" w:hAnsi="Arial" w:cs="Arial"/>
          <w:color w:val="333333"/>
          <w:sz w:val="18"/>
          <w:szCs w:val="18"/>
        </w:rPr>
        <w:t xml:space="preserve"> as of December 28, 2019). The estimated fair value of these financial instruments approximates their carrying value and is categorized as Level 2 within the fair value hierarchy based on the nature of the fair value inputs.</w:t>
      </w:r>
    </w:p>
    <w:p w14:paraId="3750E986"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As of March 28, 2020, the fair </w:t>
      </w:r>
      <w:r>
        <w:rPr>
          <w:rFonts w:ascii="Arial" w:eastAsia="宋体" w:hAnsi="Arial" w:cs="Arial"/>
          <w:color w:val="333333"/>
          <w:sz w:val="18"/>
          <w:szCs w:val="18"/>
        </w:rPr>
        <w:t>value of our issued debt was</w:t>
      </w:r>
      <w:r>
        <w:rPr>
          <w:rFonts w:ascii="Arial" w:eastAsia="宋体" w:hAnsi="Arial" w:cs="Arial"/>
          <w:b/>
          <w:bCs/>
          <w:color w:val="333333"/>
          <w:sz w:val="18"/>
          <w:szCs w:val="18"/>
        </w:rPr>
        <w:t xml:space="preserve"> </w:t>
      </w:r>
      <w:r>
        <w:rPr>
          <w:rFonts w:ascii="Arial" w:eastAsia="宋体" w:hAnsi="Arial" w:cs="Arial"/>
          <w:color w:val="333333"/>
          <w:sz w:val="18"/>
          <w:szCs w:val="18"/>
        </w:rPr>
        <w:t>$41.3 billion</w:t>
      </w:r>
      <w:r>
        <w:rPr>
          <w:rFonts w:ascii="Arial" w:eastAsia="宋体" w:hAnsi="Arial" w:cs="Arial"/>
          <w:b/>
          <w:bCs/>
          <w:color w:val="333333"/>
          <w:sz w:val="18"/>
          <w:szCs w:val="18"/>
        </w:rPr>
        <w:t xml:space="preserve"> </w:t>
      </w:r>
      <w:r>
        <w:rPr>
          <w:rFonts w:ascii="Arial" w:eastAsia="宋体" w:hAnsi="Arial" w:cs="Arial"/>
          <w:color w:val="333333"/>
          <w:sz w:val="18"/>
          <w:szCs w:val="18"/>
        </w:rPr>
        <w:t xml:space="preserve">($30.6 billion as of December 28, 2019). These liabilities are classified as Level 2 within the fair value hierarchy based on the nature of the fair value inputs. </w:t>
      </w:r>
    </w:p>
    <w:p w14:paraId="3750E987" w14:textId="77777777" w:rsidR="002541AD" w:rsidRDefault="002541AD">
      <w:pPr>
        <w:spacing w:line="288" w:lineRule="auto"/>
        <w:rPr>
          <w:rFonts w:ascii="Times New Roman" w:hAnsi="Times New Roman"/>
          <w:sz w:val="18"/>
          <w:szCs w:val="18"/>
        </w:rPr>
      </w:pPr>
    </w:p>
    <w:tbl>
      <w:tblPr>
        <w:tblW w:w="5000" w:type="pct"/>
        <w:tblCellMar>
          <w:left w:w="0" w:type="dxa"/>
          <w:right w:w="0" w:type="dxa"/>
        </w:tblCellMar>
        <w:tblLook w:val="04A0" w:firstRow="1" w:lastRow="0" w:firstColumn="1" w:lastColumn="0" w:noHBand="0" w:noVBand="1"/>
      </w:tblPr>
      <w:tblGrid>
        <w:gridCol w:w="1080"/>
        <w:gridCol w:w="7226"/>
      </w:tblGrid>
      <w:tr w:rsidR="002541AD" w14:paraId="3750E989" w14:textId="77777777">
        <w:tc>
          <w:tcPr>
            <w:tcW w:w="0" w:type="auto"/>
            <w:gridSpan w:val="2"/>
            <w:shd w:val="clear" w:color="auto" w:fill="auto"/>
            <w:vAlign w:val="center"/>
          </w:tcPr>
          <w:p w14:paraId="3750E988" w14:textId="77777777" w:rsidR="002541AD" w:rsidRDefault="002541AD">
            <w:pPr>
              <w:rPr>
                <w:rFonts w:ascii="Times New Roman" w:hAnsi="Times New Roman"/>
                <w:sz w:val="20"/>
                <w:szCs w:val="20"/>
              </w:rPr>
            </w:pPr>
          </w:p>
        </w:tc>
      </w:tr>
      <w:tr w:rsidR="002541AD" w14:paraId="3750E98C" w14:textId="77777777">
        <w:tc>
          <w:tcPr>
            <w:tcW w:w="650" w:type="pct"/>
            <w:shd w:val="clear" w:color="auto" w:fill="auto"/>
            <w:vAlign w:val="center"/>
          </w:tcPr>
          <w:p w14:paraId="3750E98A" w14:textId="77777777" w:rsidR="002541AD" w:rsidRDefault="002541AD">
            <w:pPr>
              <w:rPr>
                <w:rFonts w:ascii="Times New Roman" w:hAnsi="Times New Roman"/>
                <w:sz w:val="20"/>
                <w:szCs w:val="20"/>
              </w:rPr>
            </w:pPr>
          </w:p>
        </w:tc>
        <w:tc>
          <w:tcPr>
            <w:tcW w:w="4350" w:type="pct"/>
            <w:shd w:val="clear" w:color="auto" w:fill="auto"/>
            <w:vAlign w:val="center"/>
          </w:tcPr>
          <w:p w14:paraId="3750E98B" w14:textId="77777777" w:rsidR="002541AD" w:rsidRDefault="002541AD">
            <w:pPr>
              <w:rPr>
                <w:rFonts w:ascii="Times New Roman" w:hAnsi="Times New Roman"/>
                <w:sz w:val="20"/>
                <w:szCs w:val="20"/>
              </w:rPr>
            </w:pPr>
          </w:p>
        </w:tc>
      </w:tr>
      <w:tr w:rsidR="002541AD" w14:paraId="3750E98F"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3750E98D"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10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E98E" w14:textId="77777777" w:rsidR="002541AD" w:rsidRDefault="00901AA6">
            <w:pPr>
              <w:textAlignment w:val="bottom"/>
              <w:rPr>
                <w:rFonts w:ascii="Times New Roman" w:hAnsi="Times New Roman"/>
                <w:sz w:val="28"/>
                <w:szCs w:val="28"/>
              </w:rPr>
            </w:pPr>
            <w:r>
              <w:rPr>
                <w:rFonts w:ascii="Arial" w:eastAsia="宋体" w:hAnsi="Arial" w:cs="Arial"/>
                <w:b/>
                <w:bCs/>
                <w:color w:val="0071C5"/>
                <w:sz w:val="28"/>
                <w:szCs w:val="28"/>
              </w:rPr>
              <w:t xml:space="preserve">OTHER COMPREHENSIVE INCOME </w:t>
            </w:r>
            <w:r>
              <w:rPr>
                <w:rFonts w:ascii="Arial" w:eastAsia="宋体" w:hAnsi="Arial" w:cs="Arial"/>
                <w:b/>
                <w:bCs/>
                <w:color w:val="0071C5"/>
                <w:sz w:val="28"/>
                <w:szCs w:val="28"/>
              </w:rPr>
              <w:t>(LOSS)</w:t>
            </w:r>
          </w:p>
        </w:tc>
      </w:tr>
    </w:tbl>
    <w:p w14:paraId="3750E990"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The changes in accumulated other comprehensive income (loss) by component and related tax effects in the first three months of 2020 were as follows:</w:t>
      </w:r>
    </w:p>
    <w:tbl>
      <w:tblPr>
        <w:tblW w:w="5000" w:type="pct"/>
        <w:tblCellMar>
          <w:left w:w="0" w:type="dxa"/>
          <w:right w:w="0" w:type="dxa"/>
        </w:tblCellMar>
        <w:tblLook w:val="04A0" w:firstRow="1" w:lastRow="0" w:firstColumn="1" w:lastColumn="0" w:noHBand="0" w:noVBand="1"/>
      </w:tblPr>
      <w:tblGrid>
        <w:gridCol w:w="3738"/>
        <w:gridCol w:w="130"/>
        <w:gridCol w:w="142"/>
        <w:gridCol w:w="852"/>
        <w:gridCol w:w="100"/>
        <w:gridCol w:w="130"/>
        <w:gridCol w:w="142"/>
        <w:gridCol w:w="754"/>
        <w:gridCol w:w="100"/>
        <w:gridCol w:w="130"/>
        <w:gridCol w:w="142"/>
        <w:gridCol w:w="958"/>
        <w:gridCol w:w="106"/>
        <w:gridCol w:w="130"/>
        <w:gridCol w:w="141"/>
        <w:gridCol w:w="511"/>
        <w:gridCol w:w="100"/>
      </w:tblGrid>
      <w:tr w:rsidR="002541AD" w14:paraId="3750E992" w14:textId="77777777">
        <w:tc>
          <w:tcPr>
            <w:tcW w:w="0" w:type="auto"/>
            <w:gridSpan w:val="17"/>
            <w:shd w:val="clear" w:color="auto" w:fill="auto"/>
            <w:vAlign w:val="center"/>
          </w:tcPr>
          <w:p w14:paraId="3750E991" w14:textId="77777777" w:rsidR="002541AD" w:rsidRDefault="002541AD">
            <w:pPr>
              <w:rPr>
                <w:rFonts w:ascii="Times New Roman" w:hAnsi="Times New Roman"/>
                <w:sz w:val="20"/>
                <w:szCs w:val="20"/>
              </w:rPr>
            </w:pPr>
          </w:p>
        </w:tc>
      </w:tr>
      <w:tr w:rsidR="002541AD" w14:paraId="3750E9A4" w14:textId="77777777">
        <w:tc>
          <w:tcPr>
            <w:tcW w:w="2600" w:type="pct"/>
            <w:shd w:val="clear" w:color="auto" w:fill="auto"/>
            <w:vAlign w:val="center"/>
          </w:tcPr>
          <w:p w14:paraId="3750E993" w14:textId="77777777" w:rsidR="002541AD" w:rsidRDefault="002541AD">
            <w:pPr>
              <w:rPr>
                <w:rFonts w:ascii="Times New Roman" w:hAnsi="Times New Roman"/>
                <w:sz w:val="20"/>
                <w:szCs w:val="20"/>
              </w:rPr>
            </w:pPr>
          </w:p>
        </w:tc>
        <w:tc>
          <w:tcPr>
            <w:tcW w:w="50" w:type="pct"/>
            <w:shd w:val="clear" w:color="auto" w:fill="auto"/>
            <w:vAlign w:val="center"/>
          </w:tcPr>
          <w:p w14:paraId="3750E994" w14:textId="77777777" w:rsidR="002541AD" w:rsidRDefault="002541AD">
            <w:pPr>
              <w:rPr>
                <w:rFonts w:ascii="Times New Roman" w:hAnsi="Times New Roman"/>
                <w:sz w:val="20"/>
                <w:szCs w:val="20"/>
              </w:rPr>
            </w:pPr>
          </w:p>
        </w:tc>
        <w:tc>
          <w:tcPr>
            <w:tcW w:w="50" w:type="pct"/>
            <w:shd w:val="clear" w:color="auto" w:fill="auto"/>
            <w:vAlign w:val="center"/>
          </w:tcPr>
          <w:p w14:paraId="3750E995" w14:textId="77777777" w:rsidR="002541AD" w:rsidRDefault="002541AD">
            <w:pPr>
              <w:rPr>
                <w:rFonts w:ascii="Times New Roman" w:hAnsi="Times New Roman"/>
                <w:sz w:val="20"/>
                <w:szCs w:val="20"/>
              </w:rPr>
            </w:pPr>
          </w:p>
        </w:tc>
        <w:tc>
          <w:tcPr>
            <w:tcW w:w="450" w:type="pct"/>
            <w:shd w:val="clear" w:color="auto" w:fill="auto"/>
            <w:vAlign w:val="center"/>
          </w:tcPr>
          <w:p w14:paraId="3750E996" w14:textId="77777777" w:rsidR="002541AD" w:rsidRDefault="002541AD">
            <w:pPr>
              <w:rPr>
                <w:rFonts w:ascii="Times New Roman" w:hAnsi="Times New Roman"/>
                <w:sz w:val="20"/>
                <w:szCs w:val="20"/>
              </w:rPr>
            </w:pPr>
          </w:p>
        </w:tc>
        <w:tc>
          <w:tcPr>
            <w:tcW w:w="50" w:type="pct"/>
            <w:shd w:val="clear" w:color="auto" w:fill="auto"/>
            <w:vAlign w:val="center"/>
          </w:tcPr>
          <w:p w14:paraId="3750E997" w14:textId="77777777" w:rsidR="002541AD" w:rsidRDefault="002541AD">
            <w:pPr>
              <w:rPr>
                <w:rFonts w:ascii="Times New Roman" w:hAnsi="Times New Roman"/>
                <w:sz w:val="20"/>
                <w:szCs w:val="20"/>
              </w:rPr>
            </w:pPr>
          </w:p>
        </w:tc>
        <w:tc>
          <w:tcPr>
            <w:tcW w:w="50" w:type="pct"/>
            <w:shd w:val="clear" w:color="auto" w:fill="auto"/>
            <w:vAlign w:val="center"/>
          </w:tcPr>
          <w:p w14:paraId="3750E998" w14:textId="77777777" w:rsidR="002541AD" w:rsidRDefault="002541AD">
            <w:pPr>
              <w:rPr>
                <w:rFonts w:ascii="Times New Roman" w:hAnsi="Times New Roman"/>
                <w:sz w:val="20"/>
                <w:szCs w:val="20"/>
              </w:rPr>
            </w:pPr>
          </w:p>
        </w:tc>
        <w:tc>
          <w:tcPr>
            <w:tcW w:w="50" w:type="pct"/>
            <w:shd w:val="clear" w:color="auto" w:fill="auto"/>
            <w:vAlign w:val="center"/>
          </w:tcPr>
          <w:p w14:paraId="3750E999" w14:textId="77777777" w:rsidR="002541AD" w:rsidRDefault="002541AD">
            <w:pPr>
              <w:rPr>
                <w:rFonts w:ascii="Times New Roman" w:hAnsi="Times New Roman"/>
                <w:sz w:val="20"/>
                <w:szCs w:val="20"/>
              </w:rPr>
            </w:pPr>
          </w:p>
        </w:tc>
        <w:tc>
          <w:tcPr>
            <w:tcW w:w="450" w:type="pct"/>
            <w:shd w:val="clear" w:color="auto" w:fill="auto"/>
            <w:vAlign w:val="center"/>
          </w:tcPr>
          <w:p w14:paraId="3750E99A" w14:textId="77777777" w:rsidR="002541AD" w:rsidRDefault="002541AD">
            <w:pPr>
              <w:rPr>
                <w:rFonts w:ascii="Times New Roman" w:hAnsi="Times New Roman"/>
                <w:sz w:val="20"/>
                <w:szCs w:val="20"/>
              </w:rPr>
            </w:pPr>
          </w:p>
        </w:tc>
        <w:tc>
          <w:tcPr>
            <w:tcW w:w="50" w:type="pct"/>
            <w:shd w:val="clear" w:color="auto" w:fill="auto"/>
            <w:vAlign w:val="center"/>
          </w:tcPr>
          <w:p w14:paraId="3750E99B" w14:textId="77777777" w:rsidR="002541AD" w:rsidRDefault="002541AD">
            <w:pPr>
              <w:rPr>
                <w:rFonts w:ascii="Times New Roman" w:hAnsi="Times New Roman"/>
                <w:sz w:val="20"/>
                <w:szCs w:val="20"/>
              </w:rPr>
            </w:pPr>
          </w:p>
        </w:tc>
        <w:tc>
          <w:tcPr>
            <w:tcW w:w="50" w:type="pct"/>
            <w:shd w:val="clear" w:color="auto" w:fill="auto"/>
            <w:vAlign w:val="center"/>
          </w:tcPr>
          <w:p w14:paraId="3750E99C" w14:textId="77777777" w:rsidR="002541AD" w:rsidRDefault="002541AD">
            <w:pPr>
              <w:rPr>
                <w:rFonts w:ascii="Times New Roman" w:hAnsi="Times New Roman"/>
                <w:sz w:val="20"/>
                <w:szCs w:val="20"/>
              </w:rPr>
            </w:pPr>
          </w:p>
        </w:tc>
        <w:tc>
          <w:tcPr>
            <w:tcW w:w="50" w:type="pct"/>
            <w:shd w:val="clear" w:color="auto" w:fill="auto"/>
            <w:vAlign w:val="center"/>
          </w:tcPr>
          <w:p w14:paraId="3750E99D" w14:textId="77777777" w:rsidR="002541AD" w:rsidRDefault="002541AD">
            <w:pPr>
              <w:rPr>
                <w:rFonts w:ascii="Times New Roman" w:hAnsi="Times New Roman"/>
                <w:sz w:val="20"/>
                <w:szCs w:val="20"/>
              </w:rPr>
            </w:pPr>
          </w:p>
        </w:tc>
        <w:tc>
          <w:tcPr>
            <w:tcW w:w="450" w:type="pct"/>
            <w:shd w:val="clear" w:color="auto" w:fill="auto"/>
            <w:vAlign w:val="center"/>
          </w:tcPr>
          <w:p w14:paraId="3750E99E" w14:textId="77777777" w:rsidR="002541AD" w:rsidRDefault="002541AD">
            <w:pPr>
              <w:rPr>
                <w:rFonts w:ascii="Times New Roman" w:hAnsi="Times New Roman"/>
                <w:sz w:val="20"/>
                <w:szCs w:val="20"/>
              </w:rPr>
            </w:pPr>
          </w:p>
        </w:tc>
        <w:tc>
          <w:tcPr>
            <w:tcW w:w="50" w:type="pct"/>
            <w:shd w:val="clear" w:color="auto" w:fill="auto"/>
            <w:vAlign w:val="center"/>
          </w:tcPr>
          <w:p w14:paraId="3750E99F" w14:textId="77777777" w:rsidR="002541AD" w:rsidRDefault="002541AD">
            <w:pPr>
              <w:rPr>
                <w:rFonts w:ascii="Times New Roman" w:hAnsi="Times New Roman"/>
                <w:sz w:val="20"/>
                <w:szCs w:val="20"/>
              </w:rPr>
            </w:pPr>
          </w:p>
        </w:tc>
        <w:tc>
          <w:tcPr>
            <w:tcW w:w="50" w:type="pct"/>
            <w:shd w:val="clear" w:color="auto" w:fill="auto"/>
            <w:vAlign w:val="center"/>
          </w:tcPr>
          <w:p w14:paraId="3750E9A0" w14:textId="77777777" w:rsidR="002541AD" w:rsidRDefault="002541AD">
            <w:pPr>
              <w:rPr>
                <w:rFonts w:ascii="Times New Roman" w:hAnsi="Times New Roman"/>
                <w:sz w:val="20"/>
                <w:szCs w:val="20"/>
              </w:rPr>
            </w:pPr>
          </w:p>
        </w:tc>
        <w:tc>
          <w:tcPr>
            <w:tcW w:w="50" w:type="pct"/>
            <w:shd w:val="clear" w:color="auto" w:fill="auto"/>
            <w:vAlign w:val="center"/>
          </w:tcPr>
          <w:p w14:paraId="3750E9A1" w14:textId="77777777" w:rsidR="002541AD" w:rsidRDefault="002541AD">
            <w:pPr>
              <w:rPr>
                <w:rFonts w:ascii="Times New Roman" w:hAnsi="Times New Roman"/>
                <w:sz w:val="20"/>
                <w:szCs w:val="20"/>
              </w:rPr>
            </w:pPr>
          </w:p>
        </w:tc>
        <w:tc>
          <w:tcPr>
            <w:tcW w:w="450" w:type="pct"/>
            <w:shd w:val="clear" w:color="auto" w:fill="auto"/>
            <w:vAlign w:val="center"/>
          </w:tcPr>
          <w:p w14:paraId="3750E9A2" w14:textId="77777777" w:rsidR="002541AD" w:rsidRDefault="002541AD">
            <w:pPr>
              <w:rPr>
                <w:rFonts w:ascii="Times New Roman" w:hAnsi="Times New Roman"/>
                <w:sz w:val="20"/>
                <w:szCs w:val="20"/>
              </w:rPr>
            </w:pPr>
          </w:p>
        </w:tc>
        <w:tc>
          <w:tcPr>
            <w:tcW w:w="50" w:type="pct"/>
            <w:shd w:val="clear" w:color="auto" w:fill="auto"/>
            <w:vAlign w:val="center"/>
          </w:tcPr>
          <w:p w14:paraId="3750E9A3" w14:textId="77777777" w:rsidR="002541AD" w:rsidRDefault="002541AD">
            <w:pPr>
              <w:rPr>
                <w:rFonts w:ascii="Times New Roman" w:hAnsi="Times New Roman"/>
                <w:sz w:val="20"/>
                <w:szCs w:val="20"/>
              </w:rPr>
            </w:pPr>
          </w:p>
        </w:tc>
      </w:tr>
      <w:tr w:rsidR="002541AD" w14:paraId="3750E9AE"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9A5"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E9A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9A7"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Unrealized Holding Gains (Losses) on Derivatives</w:t>
            </w:r>
          </w:p>
        </w:tc>
        <w:tc>
          <w:tcPr>
            <w:tcW w:w="0" w:type="auto"/>
            <w:shd w:val="clear" w:color="auto" w:fill="auto"/>
            <w:tcMar>
              <w:top w:w="40" w:type="dxa"/>
              <w:left w:w="40" w:type="dxa"/>
              <w:bottom w:w="40" w:type="dxa"/>
              <w:right w:w="40" w:type="dxa"/>
            </w:tcMar>
            <w:vAlign w:val="bottom"/>
          </w:tcPr>
          <w:p w14:paraId="3750E9A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9A9"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Actuarial Valuation and Other Pension Expenses</w:t>
            </w:r>
          </w:p>
        </w:tc>
        <w:tc>
          <w:tcPr>
            <w:tcW w:w="0" w:type="auto"/>
            <w:shd w:val="clear" w:color="auto" w:fill="auto"/>
            <w:tcMar>
              <w:top w:w="40" w:type="dxa"/>
              <w:left w:w="40" w:type="dxa"/>
              <w:bottom w:w="40" w:type="dxa"/>
              <w:right w:w="40" w:type="dxa"/>
            </w:tcMar>
            <w:vAlign w:val="bottom"/>
          </w:tcPr>
          <w:p w14:paraId="3750E9A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9AB"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Translation Adjustments and Other</w:t>
            </w:r>
          </w:p>
        </w:tc>
        <w:tc>
          <w:tcPr>
            <w:tcW w:w="0" w:type="auto"/>
            <w:shd w:val="clear" w:color="auto" w:fill="auto"/>
            <w:tcMar>
              <w:top w:w="40" w:type="dxa"/>
              <w:left w:w="40" w:type="dxa"/>
              <w:bottom w:w="40" w:type="dxa"/>
              <w:right w:w="40" w:type="dxa"/>
            </w:tcMar>
            <w:vAlign w:val="bottom"/>
          </w:tcPr>
          <w:p w14:paraId="3750E9A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9AD"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Total</w:t>
            </w:r>
          </w:p>
        </w:tc>
      </w:tr>
      <w:tr w:rsidR="002541AD" w14:paraId="3750E9C0" w14:textId="77777777">
        <w:tc>
          <w:tcPr>
            <w:tcW w:w="0" w:type="auto"/>
            <w:shd w:val="clear" w:color="auto" w:fill="auto"/>
            <w:tcMar>
              <w:top w:w="40" w:type="dxa"/>
              <w:left w:w="40" w:type="dxa"/>
              <w:bottom w:w="40" w:type="dxa"/>
              <w:right w:w="40" w:type="dxa"/>
            </w:tcMar>
            <w:vAlign w:val="bottom"/>
          </w:tcPr>
          <w:p w14:paraId="3750E9AF"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Balance as of December 29, 2019</w:t>
            </w:r>
          </w:p>
        </w:tc>
        <w:tc>
          <w:tcPr>
            <w:tcW w:w="0" w:type="auto"/>
            <w:shd w:val="clear" w:color="auto" w:fill="auto"/>
            <w:tcMar>
              <w:top w:w="40" w:type="dxa"/>
              <w:left w:w="40" w:type="dxa"/>
              <w:bottom w:w="40" w:type="dxa"/>
              <w:right w:w="40" w:type="dxa"/>
            </w:tcMar>
            <w:vAlign w:val="bottom"/>
          </w:tcPr>
          <w:p w14:paraId="3750E9B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9B1"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3750E9B2"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54</w:t>
            </w:r>
          </w:p>
        </w:tc>
        <w:tc>
          <w:tcPr>
            <w:tcW w:w="0" w:type="auto"/>
            <w:shd w:val="clear" w:color="auto" w:fill="auto"/>
            <w:vAlign w:val="bottom"/>
          </w:tcPr>
          <w:p w14:paraId="3750E9B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B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9B5"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3750E9B6"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(1,382</w:t>
            </w:r>
          </w:p>
        </w:tc>
        <w:tc>
          <w:tcPr>
            <w:tcW w:w="0" w:type="auto"/>
            <w:shd w:val="clear" w:color="auto" w:fill="auto"/>
            <w:tcMar>
              <w:top w:w="40" w:type="dxa"/>
              <w:bottom w:w="40" w:type="dxa"/>
              <w:right w:w="40" w:type="dxa"/>
            </w:tcMar>
            <w:vAlign w:val="bottom"/>
          </w:tcPr>
          <w:p w14:paraId="3750E9B7"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3750E9B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9B9"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3750E9BA"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48</w:t>
            </w:r>
          </w:p>
        </w:tc>
        <w:tc>
          <w:tcPr>
            <w:tcW w:w="0" w:type="auto"/>
            <w:shd w:val="clear" w:color="auto" w:fill="auto"/>
            <w:vAlign w:val="bottom"/>
          </w:tcPr>
          <w:p w14:paraId="3750E9B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B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9BD"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3750E9BE"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(1,280</w:t>
            </w:r>
          </w:p>
        </w:tc>
        <w:tc>
          <w:tcPr>
            <w:tcW w:w="0" w:type="auto"/>
            <w:shd w:val="clear" w:color="auto" w:fill="auto"/>
            <w:tcMar>
              <w:top w:w="40" w:type="dxa"/>
              <w:bottom w:w="40" w:type="dxa"/>
              <w:right w:w="40" w:type="dxa"/>
            </w:tcMar>
            <w:vAlign w:val="bottom"/>
          </w:tcPr>
          <w:p w14:paraId="3750E9BF"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r>
      <w:tr w:rsidR="002541AD" w14:paraId="3750E9CE" w14:textId="77777777">
        <w:tc>
          <w:tcPr>
            <w:tcW w:w="0" w:type="auto"/>
            <w:shd w:val="clear" w:color="auto" w:fill="auto"/>
            <w:tcMar>
              <w:top w:w="40" w:type="dxa"/>
              <w:left w:w="40" w:type="dxa"/>
              <w:bottom w:w="40" w:type="dxa"/>
              <w:right w:w="40" w:type="dxa"/>
            </w:tcMar>
            <w:vAlign w:val="bottom"/>
          </w:tcPr>
          <w:p w14:paraId="3750E9C1" w14:textId="77777777" w:rsidR="002541AD" w:rsidRDefault="00901AA6">
            <w:pPr>
              <w:ind w:hanging="240"/>
              <w:textAlignment w:val="bottom"/>
              <w:rPr>
                <w:rFonts w:ascii="Times New Roman" w:hAnsi="Times New Roman"/>
                <w:sz w:val="18"/>
                <w:szCs w:val="18"/>
              </w:rPr>
            </w:pPr>
            <w:r>
              <w:rPr>
                <w:rFonts w:ascii="Arial" w:eastAsia="宋体" w:hAnsi="Arial" w:cs="Arial"/>
                <w:color w:val="333333"/>
                <w:sz w:val="18"/>
                <w:szCs w:val="18"/>
              </w:rPr>
              <w:t>Other comprehensive income (loss) before reclassifications</w:t>
            </w:r>
          </w:p>
        </w:tc>
        <w:tc>
          <w:tcPr>
            <w:tcW w:w="0" w:type="auto"/>
            <w:shd w:val="clear" w:color="auto" w:fill="auto"/>
            <w:tcMar>
              <w:top w:w="40" w:type="dxa"/>
              <w:left w:w="40" w:type="dxa"/>
              <w:bottom w:w="40" w:type="dxa"/>
              <w:right w:w="40" w:type="dxa"/>
            </w:tcMar>
            <w:vAlign w:val="bottom"/>
          </w:tcPr>
          <w:p w14:paraId="3750E9C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9C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(373</w:t>
            </w:r>
          </w:p>
        </w:tc>
        <w:tc>
          <w:tcPr>
            <w:tcW w:w="0" w:type="auto"/>
            <w:shd w:val="clear" w:color="auto" w:fill="auto"/>
            <w:tcMar>
              <w:top w:w="40" w:type="dxa"/>
              <w:bottom w:w="40" w:type="dxa"/>
              <w:right w:w="40" w:type="dxa"/>
            </w:tcMar>
            <w:vAlign w:val="bottom"/>
          </w:tcPr>
          <w:p w14:paraId="3750E9C4"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9C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9C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w:t>
            </w:r>
          </w:p>
        </w:tc>
        <w:tc>
          <w:tcPr>
            <w:tcW w:w="0" w:type="auto"/>
            <w:shd w:val="clear" w:color="auto" w:fill="auto"/>
            <w:vAlign w:val="bottom"/>
          </w:tcPr>
          <w:p w14:paraId="3750E9C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C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9C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(6</w:t>
            </w:r>
          </w:p>
        </w:tc>
        <w:tc>
          <w:tcPr>
            <w:tcW w:w="0" w:type="auto"/>
            <w:shd w:val="clear" w:color="auto" w:fill="auto"/>
            <w:tcMar>
              <w:top w:w="40" w:type="dxa"/>
              <w:bottom w:w="40" w:type="dxa"/>
              <w:right w:w="40" w:type="dxa"/>
            </w:tcMar>
            <w:vAlign w:val="bottom"/>
          </w:tcPr>
          <w:p w14:paraId="3750E9CA"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9C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9CC"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(376</w:t>
            </w:r>
          </w:p>
        </w:tc>
        <w:tc>
          <w:tcPr>
            <w:tcW w:w="0" w:type="auto"/>
            <w:shd w:val="clear" w:color="auto" w:fill="auto"/>
            <w:tcMar>
              <w:top w:w="40" w:type="dxa"/>
              <w:bottom w:w="40" w:type="dxa"/>
              <w:right w:w="40" w:type="dxa"/>
            </w:tcMar>
            <w:vAlign w:val="bottom"/>
          </w:tcPr>
          <w:p w14:paraId="3750E9CD"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r>
      <w:tr w:rsidR="002541AD" w14:paraId="3750E9DC" w14:textId="77777777">
        <w:tc>
          <w:tcPr>
            <w:tcW w:w="0" w:type="auto"/>
            <w:shd w:val="clear" w:color="auto" w:fill="auto"/>
            <w:tcMar>
              <w:top w:w="40" w:type="dxa"/>
              <w:left w:w="40" w:type="dxa"/>
              <w:bottom w:w="40" w:type="dxa"/>
              <w:right w:w="40" w:type="dxa"/>
            </w:tcMar>
            <w:vAlign w:val="bottom"/>
          </w:tcPr>
          <w:p w14:paraId="3750E9CF" w14:textId="77777777" w:rsidR="002541AD" w:rsidRDefault="00901AA6">
            <w:pPr>
              <w:ind w:hanging="240"/>
              <w:textAlignment w:val="bottom"/>
              <w:rPr>
                <w:rFonts w:ascii="Times New Roman" w:hAnsi="Times New Roman"/>
                <w:sz w:val="18"/>
                <w:szCs w:val="18"/>
              </w:rPr>
            </w:pPr>
            <w:r>
              <w:rPr>
                <w:rFonts w:ascii="Arial" w:eastAsia="宋体" w:hAnsi="Arial" w:cs="Arial"/>
                <w:color w:val="333333"/>
                <w:sz w:val="18"/>
                <w:szCs w:val="18"/>
              </w:rPr>
              <w:t>Amounts reclassified out of accumulated other comprehensive income (loss)</w:t>
            </w:r>
          </w:p>
        </w:tc>
        <w:tc>
          <w:tcPr>
            <w:tcW w:w="0" w:type="auto"/>
            <w:shd w:val="clear" w:color="auto" w:fill="auto"/>
            <w:tcMar>
              <w:top w:w="40" w:type="dxa"/>
              <w:left w:w="40" w:type="dxa"/>
              <w:bottom w:w="40" w:type="dxa"/>
              <w:right w:w="40" w:type="dxa"/>
            </w:tcMar>
            <w:vAlign w:val="bottom"/>
          </w:tcPr>
          <w:p w14:paraId="3750E9D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9D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68</w:t>
            </w:r>
          </w:p>
        </w:tc>
        <w:tc>
          <w:tcPr>
            <w:tcW w:w="0" w:type="auto"/>
            <w:shd w:val="clear" w:color="auto" w:fill="auto"/>
            <w:vAlign w:val="bottom"/>
          </w:tcPr>
          <w:p w14:paraId="3750E9D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D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9D4"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14</w:t>
            </w:r>
          </w:p>
        </w:tc>
        <w:tc>
          <w:tcPr>
            <w:tcW w:w="0" w:type="auto"/>
            <w:shd w:val="clear" w:color="auto" w:fill="auto"/>
            <w:vAlign w:val="bottom"/>
          </w:tcPr>
          <w:p w14:paraId="3750E9D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D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9D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9D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D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9D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82</w:t>
            </w:r>
          </w:p>
        </w:tc>
        <w:tc>
          <w:tcPr>
            <w:tcW w:w="0" w:type="auto"/>
            <w:shd w:val="clear" w:color="auto" w:fill="auto"/>
            <w:vAlign w:val="bottom"/>
          </w:tcPr>
          <w:p w14:paraId="3750E9DB" w14:textId="77777777" w:rsidR="002541AD" w:rsidRDefault="002541AD">
            <w:pPr>
              <w:textAlignment w:val="bottom"/>
              <w:rPr>
                <w:rFonts w:ascii="Times New Roman" w:hAnsi="Times New Roman"/>
                <w:sz w:val="20"/>
                <w:szCs w:val="20"/>
              </w:rPr>
            </w:pPr>
          </w:p>
        </w:tc>
      </w:tr>
      <w:tr w:rsidR="002541AD" w14:paraId="3750E9EA" w14:textId="77777777">
        <w:tc>
          <w:tcPr>
            <w:tcW w:w="0" w:type="auto"/>
            <w:shd w:val="clear" w:color="auto" w:fill="auto"/>
            <w:tcMar>
              <w:top w:w="40" w:type="dxa"/>
              <w:left w:w="40" w:type="dxa"/>
              <w:bottom w:w="40" w:type="dxa"/>
              <w:right w:w="40" w:type="dxa"/>
            </w:tcMar>
            <w:vAlign w:val="bottom"/>
          </w:tcPr>
          <w:p w14:paraId="3750E9DD"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Tax effects</w:t>
            </w:r>
          </w:p>
        </w:tc>
        <w:tc>
          <w:tcPr>
            <w:tcW w:w="0" w:type="auto"/>
            <w:shd w:val="clear" w:color="auto" w:fill="auto"/>
            <w:tcMar>
              <w:top w:w="40" w:type="dxa"/>
              <w:left w:w="40" w:type="dxa"/>
              <w:bottom w:w="40" w:type="dxa"/>
              <w:right w:w="40" w:type="dxa"/>
            </w:tcMar>
            <w:vAlign w:val="bottom"/>
          </w:tcPr>
          <w:p w14:paraId="3750E9D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9DF"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37</w:t>
            </w:r>
          </w:p>
        </w:tc>
        <w:tc>
          <w:tcPr>
            <w:tcW w:w="0" w:type="auto"/>
            <w:shd w:val="clear" w:color="auto" w:fill="auto"/>
            <w:vAlign w:val="bottom"/>
          </w:tcPr>
          <w:p w14:paraId="3750E9E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E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9E2"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w:t>
            </w:r>
          </w:p>
        </w:tc>
        <w:tc>
          <w:tcPr>
            <w:tcW w:w="0" w:type="auto"/>
            <w:shd w:val="clear" w:color="auto" w:fill="auto"/>
            <w:tcMar>
              <w:top w:w="40" w:type="dxa"/>
              <w:bottom w:w="40" w:type="dxa"/>
              <w:right w:w="40" w:type="dxa"/>
            </w:tcMar>
            <w:vAlign w:val="bottom"/>
          </w:tcPr>
          <w:p w14:paraId="3750E9E3"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9E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9E5"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w:t>
            </w:r>
          </w:p>
        </w:tc>
        <w:tc>
          <w:tcPr>
            <w:tcW w:w="0" w:type="auto"/>
            <w:shd w:val="clear" w:color="auto" w:fill="auto"/>
            <w:vAlign w:val="bottom"/>
          </w:tcPr>
          <w:p w14:paraId="3750E9E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E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E9E8"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33</w:t>
            </w:r>
          </w:p>
        </w:tc>
        <w:tc>
          <w:tcPr>
            <w:tcW w:w="0" w:type="auto"/>
            <w:tcBorders>
              <w:bottom w:val="single" w:sz="8" w:space="0" w:color="333333"/>
            </w:tcBorders>
            <w:shd w:val="clear" w:color="auto" w:fill="auto"/>
            <w:vAlign w:val="bottom"/>
          </w:tcPr>
          <w:p w14:paraId="3750E9E9" w14:textId="77777777" w:rsidR="002541AD" w:rsidRDefault="002541AD">
            <w:pPr>
              <w:textAlignment w:val="bottom"/>
              <w:rPr>
                <w:rFonts w:ascii="Times New Roman" w:hAnsi="Times New Roman"/>
                <w:sz w:val="20"/>
                <w:szCs w:val="20"/>
              </w:rPr>
            </w:pPr>
          </w:p>
        </w:tc>
      </w:tr>
      <w:tr w:rsidR="002541AD" w14:paraId="3750E9F8" w14:textId="77777777">
        <w:tc>
          <w:tcPr>
            <w:tcW w:w="0" w:type="auto"/>
            <w:shd w:val="clear" w:color="auto" w:fill="auto"/>
            <w:tcMar>
              <w:top w:w="40" w:type="dxa"/>
              <w:left w:w="40" w:type="dxa"/>
              <w:bottom w:w="40" w:type="dxa"/>
              <w:right w:w="40" w:type="dxa"/>
            </w:tcMar>
            <w:vAlign w:val="bottom"/>
          </w:tcPr>
          <w:p w14:paraId="3750E9EB"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Other comprehensive income (loss)</w:t>
            </w:r>
          </w:p>
        </w:tc>
        <w:tc>
          <w:tcPr>
            <w:tcW w:w="0" w:type="auto"/>
            <w:shd w:val="clear" w:color="auto" w:fill="auto"/>
            <w:tcMar>
              <w:top w:w="40" w:type="dxa"/>
              <w:left w:w="40" w:type="dxa"/>
              <w:bottom w:w="40" w:type="dxa"/>
              <w:right w:w="40" w:type="dxa"/>
            </w:tcMar>
            <w:vAlign w:val="bottom"/>
          </w:tcPr>
          <w:p w14:paraId="3750E9E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3750E9ED"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(268</w:t>
            </w:r>
          </w:p>
        </w:tc>
        <w:tc>
          <w:tcPr>
            <w:tcW w:w="0" w:type="auto"/>
            <w:tcBorders>
              <w:top w:val="single" w:sz="8" w:space="0" w:color="333333"/>
            </w:tcBorders>
            <w:shd w:val="clear" w:color="auto" w:fill="auto"/>
            <w:tcMar>
              <w:top w:w="40" w:type="dxa"/>
              <w:bottom w:w="40" w:type="dxa"/>
              <w:right w:w="40" w:type="dxa"/>
            </w:tcMar>
            <w:vAlign w:val="bottom"/>
          </w:tcPr>
          <w:p w14:paraId="3750E9EE"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3750E9E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E9F0"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12</w:t>
            </w:r>
          </w:p>
        </w:tc>
        <w:tc>
          <w:tcPr>
            <w:tcW w:w="0" w:type="auto"/>
            <w:tcBorders>
              <w:top w:val="single" w:sz="8" w:space="0" w:color="333333"/>
              <w:bottom w:val="single" w:sz="8" w:space="0" w:color="333333"/>
            </w:tcBorders>
            <w:shd w:val="clear" w:color="auto" w:fill="auto"/>
            <w:vAlign w:val="bottom"/>
          </w:tcPr>
          <w:p w14:paraId="3750E9F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9F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E9F3"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(5</w:t>
            </w:r>
          </w:p>
        </w:tc>
        <w:tc>
          <w:tcPr>
            <w:tcW w:w="0" w:type="auto"/>
            <w:tcBorders>
              <w:top w:val="single" w:sz="8" w:space="0" w:color="333333"/>
              <w:bottom w:val="single" w:sz="8" w:space="0" w:color="333333"/>
            </w:tcBorders>
            <w:shd w:val="clear" w:color="auto" w:fill="auto"/>
            <w:tcMar>
              <w:top w:w="40" w:type="dxa"/>
              <w:bottom w:w="40" w:type="dxa"/>
              <w:right w:w="40" w:type="dxa"/>
            </w:tcMar>
            <w:vAlign w:val="bottom"/>
          </w:tcPr>
          <w:p w14:paraId="3750E9F4"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3750E9F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E9F6"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(261</w:t>
            </w:r>
          </w:p>
        </w:tc>
        <w:tc>
          <w:tcPr>
            <w:tcW w:w="0" w:type="auto"/>
            <w:tcBorders>
              <w:top w:val="single" w:sz="8" w:space="0" w:color="333333"/>
              <w:bottom w:val="single" w:sz="8" w:space="0" w:color="333333"/>
            </w:tcBorders>
            <w:shd w:val="clear" w:color="auto" w:fill="auto"/>
            <w:tcMar>
              <w:top w:w="40" w:type="dxa"/>
              <w:bottom w:w="40" w:type="dxa"/>
              <w:right w:w="40" w:type="dxa"/>
            </w:tcMar>
            <w:vAlign w:val="bottom"/>
          </w:tcPr>
          <w:p w14:paraId="3750E9F7"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r>
      <w:tr w:rsidR="002541AD" w14:paraId="3750EA0A" w14:textId="77777777">
        <w:tc>
          <w:tcPr>
            <w:tcW w:w="0" w:type="auto"/>
            <w:shd w:val="clear" w:color="auto" w:fill="auto"/>
            <w:tcMar>
              <w:top w:w="40" w:type="dxa"/>
              <w:left w:w="40" w:type="dxa"/>
              <w:bottom w:w="40" w:type="dxa"/>
              <w:right w:w="40" w:type="dxa"/>
            </w:tcMar>
            <w:vAlign w:val="bottom"/>
          </w:tcPr>
          <w:p w14:paraId="3750E9F9"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Balance as of March 28, 2020</w:t>
            </w:r>
          </w:p>
        </w:tc>
        <w:tc>
          <w:tcPr>
            <w:tcW w:w="0" w:type="auto"/>
            <w:shd w:val="clear" w:color="auto" w:fill="auto"/>
            <w:tcMar>
              <w:top w:w="40" w:type="dxa"/>
              <w:left w:w="40" w:type="dxa"/>
              <w:bottom w:w="40" w:type="dxa"/>
              <w:right w:w="40" w:type="dxa"/>
            </w:tcMar>
            <w:vAlign w:val="bottom"/>
          </w:tcPr>
          <w:p w14:paraId="3750E9F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9FB"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9FC"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(214</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E9FD"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3750E9F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9FF"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A00"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(1,370</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EA01"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3750EA0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A03"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A04"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43</w:t>
            </w:r>
          </w:p>
        </w:tc>
        <w:tc>
          <w:tcPr>
            <w:tcW w:w="0" w:type="auto"/>
            <w:tcBorders>
              <w:top w:val="single" w:sz="8" w:space="0" w:color="333333"/>
              <w:bottom w:val="double" w:sz="6" w:space="0" w:color="333333"/>
            </w:tcBorders>
            <w:shd w:val="clear" w:color="auto" w:fill="auto"/>
            <w:vAlign w:val="bottom"/>
          </w:tcPr>
          <w:p w14:paraId="3750EA0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0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A07"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A08"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(1,541</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EA09"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r>
    </w:tbl>
    <w:p w14:paraId="3750EA0B" w14:textId="77777777" w:rsidR="002541AD" w:rsidRDefault="002541AD">
      <w:pPr>
        <w:spacing w:line="288" w:lineRule="auto"/>
        <w:rPr>
          <w:rFonts w:ascii="Times New Roman" w:hAnsi="Times New Roman"/>
          <w:sz w:val="20"/>
          <w:szCs w:val="20"/>
        </w:rPr>
      </w:pPr>
    </w:p>
    <w:p w14:paraId="3750EA0C"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We estimate that we will reclassify approximately $135 million (before taxes) of net derivative losses included in accumulated other comprehensive income (loss) into earnings within the ne</w:t>
      </w:r>
      <w:r>
        <w:rPr>
          <w:rFonts w:ascii="Arial" w:eastAsia="宋体" w:hAnsi="Arial" w:cs="Arial"/>
          <w:color w:val="333333"/>
          <w:sz w:val="18"/>
          <w:szCs w:val="18"/>
        </w:rPr>
        <w:t xml:space="preserve">xt 12 months. </w:t>
      </w:r>
    </w:p>
    <w:p w14:paraId="3750EA0D"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EA0F" w14:textId="77777777">
        <w:tc>
          <w:tcPr>
            <w:tcW w:w="0" w:type="auto"/>
            <w:gridSpan w:val="3"/>
            <w:shd w:val="clear" w:color="auto" w:fill="auto"/>
            <w:vAlign w:val="center"/>
          </w:tcPr>
          <w:p w14:paraId="3750EA0E" w14:textId="77777777" w:rsidR="002541AD" w:rsidRDefault="002541AD">
            <w:pPr>
              <w:rPr>
                <w:rFonts w:ascii="Times New Roman" w:hAnsi="Times New Roman"/>
                <w:sz w:val="20"/>
                <w:szCs w:val="20"/>
              </w:rPr>
            </w:pPr>
          </w:p>
        </w:tc>
      </w:tr>
      <w:tr w:rsidR="002541AD" w14:paraId="3750EA13" w14:textId="77777777">
        <w:tc>
          <w:tcPr>
            <w:tcW w:w="1550" w:type="pct"/>
            <w:shd w:val="clear" w:color="auto" w:fill="auto"/>
            <w:vAlign w:val="center"/>
          </w:tcPr>
          <w:p w14:paraId="3750EA10" w14:textId="77777777" w:rsidR="002541AD" w:rsidRDefault="002541AD">
            <w:pPr>
              <w:rPr>
                <w:rFonts w:ascii="Times New Roman" w:hAnsi="Times New Roman"/>
                <w:sz w:val="20"/>
                <w:szCs w:val="20"/>
              </w:rPr>
            </w:pPr>
          </w:p>
        </w:tc>
        <w:tc>
          <w:tcPr>
            <w:tcW w:w="2200" w:type="pct"/>
            <w:shd w:val="clear" w:color="auto" w:fill="auto"/>
            <w:vAlign w:val="center"/>
          </w:tcPr>
          <w:p w14:paraId="3750EA11" w14:textId="77777777" w:rsidR="002541AD" w:rsidRDefault="002541AD">
            <w:pPr>
              <w:rPr>
                <w:rFonts w:ascii="Times New Roman" w:hAnsi="Times New Roman"/>
                <w:sz w:val="20"/>
                <w:szCs w:val="20"/>
              </w:rPr>
            </w:pPr>
          </w:p>
        </w:tc>
        <w:tc>
          <w:tcPr>
            <w:tcW w:w="1250" w:type="pct"/>
            <w:shd w:val="clear" w:color="auto" w:fill="auto"/>
            <w:vAlign w:val="center"/>
          </w:tcPr>
          <w:p w14:paraId="3750EA12" w14:textId="77777777" w:rsidR="002541AD" w:rsidRDefault="002541AD">
            <w:pPr>
              <w:rPr>
                <w:rFonts w:ascii="Times New Roman" w:hAnsi="Times New Roman"/>
                <w:sz w:val="20"/>
                <w:szCs w:val="20"/>
              </w:rPr>
            </w:pPr>
          </w:p>
        </w:tc>
      </w:tr>
      <w:tr w:rsidR="002541AD" w14:paraId="3750EA17" w14:textId="77777777">
        <w:tc>
          <w:tcPr>
            <w:tcW w:w="0" w:type="auto"/>
            <w:tcBorders>
              <w:top w:val="single" w:sz="8" w:space="0" w:color="0071C5"/>
              <w:right w:val="single" w:sz="24" w:space="0" w:color="0071C5"/>
            </w:tcBorders>
            <w:shd w:val="clear" w:color="auto" w:fill="auto"/>
            <w:tcMar>
              <w:top w:w="40" w:type="dxa"/>
              <w:left w:w="40" w:type="dxa"/>
              <w:bottom w:w="40" w:type="dxa"/>
              <w:right w:w="40" w:type="dxa"/>
            </w:tcMar>
            <w:vAlign w:val="center"/>
          </w:tcPr>
          <w:p w14:paraId="3750EA14"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7A" wp14:editId="3750F87B">
                  <wp:extent cx="304800" cy="304800"/>
                  <wp:effectExtent l="0" t="0" r="0" b="0"/>
                  <wp:docPr id="71" name="图片 79"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9"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A15"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A16"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20</w:t>
            </w:r>
          </w:p>
        </w:tc>
      </w:tr>
    </w:tbl>
    <w:p w14:paraId="3750EA18" w14:textId="77777777" w:rsidR="002541AD" w:rsidRDefault="002541AD">
      <w:pPr>
        <w:spacing w:line="288" w:lineRule="auto"/>
        <w:rPr>
          <w:rFonts w:ascii="Times New Roman" w:hAnsi="Times New Roman"/>
          <w:sz w:val="18"/>
          <w:szCs w:val="18"/>
        </w:rPr>
      </w:pPr>
    </w:p>
    <w:p w14:paraId="3750EA19" w14:textId="77777777" w:rsidR="002541AD" w:rsidRDefault="002541AD">
      <w:pPr>
        <w:spacing w:line="288" w:lineRule="auto"/>
        <w:rPr>
          <w:rFonts w:ascii="Times New Roman" w:hAnsi="Times New Roman"/>
          <w:sz w:val="18"/>
          <w:szCs w:val="18"/>
        </w:rPr>
      </w:pPr>
    </w:p>
    <w:p w14:paraId="3750EA1A" w14:textId="77777777" w:rsidR="002541AD" w:rsidRDefault="00901AA6">
      <w:r>
        <w:rPr>
          <w:rFonts w:ascii="Times New Roman" w:hAnsi="Times New Roman"/>
          <w:sz w:val="18"/>
          <w:szCs w:val="18"/>
        </w:rPr>
        <w:pict w14:anchorId="3750F87C">
          <v:rect id="_x0000_i1046" style="width:415.3pt;height:1.5pt" o:hralign="center" o:hrstd="t" o:hr="t" fillcolor="#a0a0a0" stroked="f"/>
        </w:pict>
      </w:r>
    </w:p>
    <w:p w14:paraId="3750EA1B" w14:textId="77777777" w:rsidR="002541AD" w:rsidRDefault="00901AA6">
      <w:pPr>
        <w:spacing w:line="288" w:lineRule="auto"/>
        <w:jc w:val="right"/>
        <w:rPr>
          <w:rFonts w:ascii="Times New Roman" w:hAnsi="Times New Roman"/>
          <w:sz w:val="16"/>
          <w:szCs w:val="16"/>
        </w:rPr>
      </w:pPr>
      <w:hyperlink r:id="rId49" w:anchor="s2CABEAF4222C52B4A34547BF538A8C27" w:history="1">
        <w:r>
          <w:rPr>
            <w:rStyle w:val="a5"/>
            <w:rFonts w:ascii="Arial" w:eastAsia="宋体" w:hAnsi="Arial" w:cs="Arial"/>
            <w:b/>
            <w:bCs/>
            <w:sz w:val="16"/>
            <w:szCs w:val="16"/>
          </w:rPr>
          <w:t>Table of Contents</w:t>
        </w:r>
      </w:hyperlink>
    </w:p>
    <w:p w14:paraId="3750EA1C" w14:textId="77777777" w:rsidR="002541AD" w:rsidRDefault="002541AD">
      <w:pPr>
        <w:spacing w:line="288" w:lineRule="auto"/>
        <w:jc w:val="right"/>
        <w:rPr>
          <w:rFonts w:ascii="Times New Roman" w:hAnsi="Times New Roman"/>
          <w:sz w:val="18"/>
          <w:szCs w:val="18"/>
        </w:rPr>
      </w:pPr>
    </w:p>
    <w:p w14:paraId="3750EA1D"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080"/>
        <w:gridCol w:w="7226"/>
      </w:tblGrid>
      <w:tr w:rsidR="002541AD" w14:paraId="3750EA1F" w14:textId="77777777">
        <w:tc>
          <w:tcPr>
            <w:tcW w:w="0" w:type="auto"/>
            <w:gridSpan w:val="2"/>
            <w:shd w:val="clear" w:color="auto" w:fill="auto"/>
            <w:vAlign w:val="center"/>
          </w:tcPr>
          <w:p w14:paraId="3750EA1E" w14:textId="77777777" w:rsidR="002541AD" w:rsidRDefault="002541AD">
            <w:pPr>
              <w:rPr>
                <w:rFonts w:ascii="Times New Roman" w:hAnsi="Times New Roman"/>
                <w:sz w:val="20"/>
                <w:szCs w:val="20"/>
              </w:rPr>
            </w:pPr>
          </w:p>
        </w:tc>
      </w:tr>
      <w:tr w:rsidR="002541AD" w14:paraId="3750EA22" w14:textId="77777777">
        <w:tc>
          <w:tcPr>
            <w:tcW w:w="650" w:type="pct"/>
            <w:shd w:val="clear" w:color="auto" w:fill="auto"/>
            <w:vAlign w:val="center"/>
          </w:tcPr>
          <w:p w14:paraId="3750EA20" w14:textId="77777777" w:rsidR="002541AD" w:rsidRDefault="002541AD">
            <w:pPr>
              <w:rPr>
                <w:rFonts w:ascii="Times New Roman" w:hAnsi="Times New Roman"/>
                <w:sz w:val="20"/>
                <w:szCs w:val="20"/>
              </w:rPr>
            </w:pPr>
          </w:p>
        </w:tc>
        <w:tc>
          <w:tcPr>
            <w:tcW w:w="4350" w:type="pct"/>
            <w:shd w:val="clear" w:color="auto" w:fill="auto"/>
            <w:vAlign w:val="center"/>
          </w:tcPr>
          <w:p w14:paraId="3750EA21" w14:textId="77777777" w:rsidR="002541AD" w:rsidRDefault="002541AD">
            <w:pPr>
              <w:rPr>
                <w:rFonts w:ascii="Times New Roman" w:hAnsi="Times New Roman"/>
                <w:sz w:val="20"/>
                <w:szCs w:val="20"/>
              </w:rPr>
            </w:pPr>
          </w:p>
        </w:tc>
      </w:tr>
      <w:tr w:rsidR="002541AD" w14:paraId="3750EA25"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3750EA23"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11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EA24" w14:textId="77777777" w:rsidR="002541AD" w:rsidRDefault="00901AA6">
            <w:pPr>
              <w:textAlignment w:val="bottom"/>
              <w:rPr>
                <w:rFonts w:ascii="Times New Roman" w:hAnsi="Times New Roman"/>
                <w:sz w:val="28"/>
                <w:szCs w:val="28"/>
              </w:rPr>
            </w:pPr>
            <w:r>
              <w:rPr>
                <w:rFonts w:ascii="Arial" w:eastAsia="宋体" w:hAnsi="Arial" w:cs="Arial"/>
                <w:b/>
                <w:bCs/>
                <w:color w:val="0071C5"/>
                <w:sz w:val="28"/>
                <w:szCs w:val="28"/>
              </w:rPr>
              <w:t>DERIVATIVE FINANCIAL INSTRUMENTS</w:t>
            </w:r>
          </w:p>
        </w:tc>
      </w:tr>
    </w:tbl>
    <w:p w14:paraId="3750EA26" w14:textId="77777777" w:rsidR="002541AD" w:rsidRDefault="00901AA6">
      <w:pPr>
        <w:spacing w:line="288" w:lineRule="auto"/>
        <w:rPr>
          <w:rFonts w:ascii="Times New Roman" w:hAnsi="Times New Roman"/>
        </w:rPr>
      </w:pPr>
      <w:r>
        <w:rPr>
          <w:rFonts w:ascii="Arial" w:eastAsia="宋体" w:hAnsi="Arial" w:cs="Arial"/>
          <w:b/>
          <w:bCs/>
          <w:color w:val="0071C5"/>
        </w:rPr>
        <w:t xml:space="preserve">VOLUME OF </w:t>
      </w:r>
      <w:r>
        <w:rPr>
          <w:rFonts w:ascii="Arial" w:eastAsia="宋体" w:hAnsi="Arial" w:cs="Arial"/>
          <w:b/>
          <w:bCs/>
          <w:color w:val="0071C5"/>
        </w:rPr>
        <w:t>DERIVATIVE ACTIVITY</w:t>
      </w:r>
    </w:p>
    <w:p w14:paraId="3750EA27"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Total gross notional amounts for outstanding derivatives (recorded at fair value) at the end of each period were as follows: </w:t>
      </w:r>
    </w:p>
    <w:tbl>
      <w:tblPr>
        <w:tblW w:w="5000" w:type="pct"/>
        <w:tblCellMar>
          <w:left w:w="0" w:type="dxa"/>
          <w:right w:w="0" w:type="dxa"/>
        </w:tblCellMar>
        <w:tblLook w:val="04A0" w:firstRow="1" w:lastRow="0" w:firstColumn="1" w:lastColumn="0" w:noHBand="0" w:noVBand="1"/>
      </w:tblPr>
      <w:tblGrid>
        <w:gridCol w:w="6098"/>
        <w:gridCol w:w="130"/>
        <w:gridCol w:w="141"/>
        <w:gridCol w:w="784"/>
        <w:gridCol w:w="37"/>
        <w:gridCol w:w="130"/>
        <w:gridCol w:w="142"/>
        <w:gridCol w:w="785"/>
        <w:gridCol w:w="59"/>
      </w:tblGrid>
      <w:tr w:rsidR="002541AD" w14:paraId="3750EA29" w14:textId="77777777">
        <w:tc>
          <w:tcPr>
            <w:tcW w:w="0" w:type="auto"/>
            <w:gridSpan w:val="9"/>
            <w:shd w:val="clear" w:color="auto" w:fill="auto"/>
            <w:vAlign w:val="center"/>
          </w:tcPr>
          <w:p w14:paraId="3750EA28" w14:textId="77777777" w:rsidR="002541AD" w:rsidRDefault="002541AD">
            <w:pPr>
              <w:rPr>
                <w:rFonts w:ascii="Times New Roman" w:hAnsi="Times New Roman"/>
                <w:sz w:val="20"/>
                <w:szCs w:val="20"/>
              </w:rPr>
            </w:pPr>
          </w:p>
        </w:tc>
      </w:tr>
      <w:tr w:rsidR="002541AD" w14:paraId="3750EA33" w14:textId="77777777">
        <w:tc>
          <w:tcPr>
            <w:tcW w:w="3700" w:type="pct"/>
            <w:shd w:val="clear" w:color="auto" w:fill="auto"/>
            <w:vAlign w:val="center"/>
          </w:tcPr>
          <w:p w14:paraId="3750EA2A" w14:textId="77777777" w:rsidR="002541AD" w:rsidRDefault="002541AD">
            <w:pPr>
              <w:rPr>
                <w:rFonts w:ascii="Times New Roman" w:hAnsi="Times New Roman"/>
                <w:sz w:val="20"/>
                <w:szCs w:val="20"/>
              </w:rPr>
            </w:pPr>
          </w:p>
        </w:tc>
        <w:tc>
          <w:tcPr>
            <w:tcW w:w="50" w:type="pct"/>
            <w:shd w:val="clear" w:color="auto" w:fill="auto"/>
            <w:vAlign w:val="center"/>
          </w:tcPr>
          <w:p w14:paraId="3750EA2B" w14:textId="77777777" w:rsidR="002541AD" w:rsidRDefault="002541AD">
            <w:pPr>
              <w:rPr>
                <w:rFonts w:ascii="Times New Roman" w:hAnsi="Times New Roman"/>
                <w:sz w:val="20"/>
                <w:szCs w:val="20"/>
              </w:rPr>
            </w:pPr>
          </w:p>
        </w:tc>
        <w:tc>
          <w:tcPr>
            <w:tcW w:w="50" w:type="pct"/>
            <w:shd w:val="clear" w:color="auto" w:fill="auto"/>
            <w:vAlign w:val="center"/>
          </w:tcPr>
          <w:p w14:paraId="3750EA2C" w14:textId="77777777" w:rsidR="002541AD" w:rsidRDefault="002541AD">
            <w:pPr>
              <w:rPr>
                <w:rFonts w:ascii="Times New Roman" w:hAnsi="Times New Roman"/>
                <w:sz w:val="20"/>
                <w:szCs w:val="20"/>
              </w:rPr>
            </w:pPr>
          </w:p>
        </w:tc>
        <w:tc>
          <w:tcPr>
            <w:tcW w:w="500" w:type="pct"/>
            <w:shd w:val="clear" w:color="auto" w:fill="auto"/>
            <w:vAlign w:val="center"/>
          </w:tcPr>
          <w:p w14:paraId="3750EA2D" w14:textId="77777777" w:rsidR="002541AD" w:rsidRDefault="002541AD">
            <w:pPr>
              <w:rPr>
                <w:rFonts w:ascii="Times New Roman" w:hAnsi="Times New Roman"/>
                <w:sz w:val="20"/>
                <w:szCs w:val="20"/>
              </w:rPr>
            </w:pPr>
          </w:p>
        </w:tc>
        <w:tc>
          <w:tcPr>
            <w:tcW w:w="50" w:type="pct"/>
            <w:shd w:val="clear" w:color="auto" w:fill="auto"/>
            <w:vAlign w:val="center"/>
          </w:tcPr>
          <w:p w14:paraId="3750EA2E" w14:textId="77777777" w:rsidR="002541AD" w:rsidRDefault="002541AD">
            <w:pPr>
              <w:rPr>
                <w:rFonts w:ascii="Times New Roman" w:hAnsi="Times New Roman"/>
                <w:sz w:val="20"/>
                <w:szCs w:val="20"/>
              </w:rPr>
            </w:pPr>
          </w:p>
        </w:tc>
        <w:tc>
          <w:tcPr>
            <w:tcW w:w="50" w:type="pct"/>
            <w:shd w:val="clear" w:color="auto" w:fill="auto"/>
            <w:vAlign w:val="center"/>
          </w:tcPr>
          <w:p w14:paraId="3750EA2F" w14:textId="77777777" w:rsidR="002541AD" w:rsidRDefault="002541AD">
            <w:pPr>
              <w:rPr>
                <w:rFonts w:ascii="Times New Roman" w:hAnsi="Times New Roman"/>
                <w:sz w:val="20"/>
                <w:szCs w:val="20"/>
              </w:rPr>
            </w:pPr>
          </w:p>
        </w:tc>
        <w:tc>
          <w:tcPr>
            <w:tcW w:w="50" w:type="pct"/>
            <w:shd w:val="clear" w:color="auto" w:fill="auto"/>
            <w:vAlign w:val="center"/>
          </w:tcPr>
          <w:p w14:paraId="3750EA30" w14:textId="77777777" w:rsidR="002541AD" w:rsidRDefault="002541AD">
            <w:pPr>
              <w:rPr>
                <w:rFonts w:ascii="Times New Roman" w:hAnsi="Times New Roman"/>
                <w:sz w:val="20"/>
                <w:szCs w:val="20"/>
              </w:rPr>
            </w:pPr>
          </w:p>
        </w:tc>
        <w:tc>
          <w:tcPr>
            <w:tcW w:w="500" w:type="pct"/>
            <w:shd w:val="clear" w:color="auto" w:fill="auto"/>
            <w:vAlign w:val="center"/>
          </w:tcPr>
          <w:p w14:paraId="3750EA31" w14:textId="77777777" w:rsidR="002541AD" w:rsidRDefault="002541AD">
            <w:pPr>
              <w:rPr>
                <w:rFonts w:ascii="Times New Roman" w:hAnsi="Times New Roman"/>
                <w:sz w:val="20"/>
                <w:szCs w:val="20"/>
              </w:rPr>
            </w:pPr>
          </w:p>
        </w:tc>
        <w:tc>
          <w:tcPr>
            <w:tcW w:w="50" w:type="pct"/>
            <w:shd w:val="clear" w:color="auto" w:fill="auto"/>
            <w:vAlign w:val="center"/>
          </w:tcPr>
          <w:p w14:paraId="3750EA32" w14:textId="77777777" w:rsidR="002541AD" w:rsidRDefault="002541AD">
            <w:pPr>
              <w:rPr>
                <w:rFonts w:ascii="Times New Roman" w:hAnsi="Times New Roman"/>
                <w:sz w:val="20"/>
                <w:szCs w:val="20"/>
              </w:rPr>
            </w:pPr>
          </w:p>
        </w:tc>
      </w:tr>
      <w:tr w:rsidR="002541AD" w14:paraId="3750EA39"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A34"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EA3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A36"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c>
          <w:tcPr>
            <w:tcW w:w="0" w:type="auto"/>
            <w:shd w:val="clear" w:color="auto" w:fill="auto"/>
            <w:tcMar>
              <w:top w:w="40" w:type="dxa"/>
              <w:left w:w="40" w:type="dxa"/>
              <w:bottom w:w="40" w:type="dxa"/>
              <w:right w:w="40" w:type="dxa"/>
            </w:tcMar>
            <w:vAlign w:val="bottom"/>
          </w:tcPr>
          <w:p w14:paraId="3750EA3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A38"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r>
      <w:tr w:rsidR="002541AD" w14:paraId="3750EA43" w14:textId="77777777">
        <w:tc>
          <w:tcPr>
            <w:tcW w:w="0" w:type="auto"/>
            <w:shd w:val="clear" w:color="auto" w:fill="auto"/>
            <w:tcMar>
              <w:top w:w="40" w:type="dxa"/>
              <w:left w:w="40" w:type="dxa"/>
              <w:bottom w:w="40" w:type="dxa"/>
              <w:right w:w="40" w:type="dxa"/>
            </w:tcMar>
          </w:tcPr>
          <w:p w14:paraId="3750EA3A"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Foreign currency contracts</w:t>
            </w:r>
          </w:p>
        </w:tc>
        <w:tc>
          <w:tcPr>
            <w:tcW w:w="0" w:type="auto"/>
            <w:shd w:val="clear" w:color="auto" w:fill="auto"/>
            <w:tcMar>
              <w:top w:w="40" w:type="dxa"/>
              <w:left w:w="40" w:type="dxa"/>
              <w:bottom w:w="40" w:type="dxa"/>
              <w:right w:w="40" w:type="dxa"/>
            </w:tcMar>
            <w:vAlign w:val="bottom"/>
          </w:tcPr>
          <w:p w14:paraId="3750EA3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A3C"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A3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27,039</w:t>
            </w:r>
          </w:p>
        </w:tc>
        <w:tc>
          <w:tcPr>
            <w:tcW w:w="0" w:type="auto"/>
            <w:shd w:val="clear" w:color="auto" w:fill="auto"/>
            <w:vAlign w:val="bottom"/>
          </w:tcPr>
          <w:p w14:paraId="3750EA3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3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A40"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A41"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23,981</w:t>
            </w:r>
          </w:p>
        </w:tc>
        <w:tc>
          <w:tcPr>
            <w:tcW w:w="0" w:type="auto"/>
            <w:shd w:val="clear" w:color="auto" w:fill="auto"/>
            <w:vAlign w:val="bottom"/>
          </w:tcPr>
          <w:p w14:paraId="3750EA42" w14:textId="77777777" w:rsidR="002541AD" w:rsidRDefault="002541AD">
            <w:pPr>
              <w:textAlignment w:val="bottom"/>
              <w:rPr>
                <w:rFonts w:ascii="Times New Roman" w:hAnsi="Times New Roman"/>
                <w:sz w:val="20"/>
                <w:szCs w:val="20"/>
              </w:rPr>
            </w:pPr>
          </w:p>
        </w:tc>
      </w:tr>
      <w:tr w:rsidR="002541AD" w14:paraId="3750EA4B" w14:textId="77777777">
        <w:tc>
          <w:tcPr>
            <w:tcW w:w="0" w:type="auto"/>
            <w:shd w:val="clear" w:color="auto" w:fill="auto"/>
            <w:tcMar>
              <w:top w:w="40" w:type="dxa"/>
              <w:left w:w="40" w:type="dxa"/>
              <w:bottom w:w="40" w:type="dxa"/>
              <w:right w:w="40" w:type="dxa"/>
            </w:tcMar>
          </w:tcPr>
          <w:p w14:paraId="3750EA44"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Interest rate contracts</w:t>
            </w:r>
          </w:p>
        </w:tc>
        <w:tc>
          <w:tcPr>
            <w:tcW w:w="0" w:type="auto"/>
            <w:shd w:val="clear" w:color="auto" w:fill="auto"/>
            <w:tcMar>
              <w:top w:w="40" w:type="dxa"/>
              <w:left w:w="40" w:type="dxa"/>
              <w:bottom w:w="40" w:type="dxa"/>
              <w:right w:w="40" w:type="dxa"/>
            </w:tcMar>
            <w:vAlign w:val="bottom"/>
          </w:tcPr>
          <w:p w14:paraId="3750EA4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A4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13,859</w:t>
            </w:r>
          </w:p>
        </w:tc>
        <w:tc>
          <w:tcPr>
            <w:tcW w:w="0" w:type="auto"/>
            <w:shd w:val="clear" w:color="auto" w:fill="auto"/>
            <w:vAlign w:val="bottom"/>
          </w:tcPr>
          <w:p w14:paraId="3750EA4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4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A4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14,302</w:t>
            </w:r>
          </w:p>
        </w:tc>
        <w:tc>
          <w:tcPr>
            <w:tcW w:w="0" w:type="auto"/>
            <w:shd w:val="clear" w:color="auto" w:fill="auto"/>
            <w:vAlign w:val="bottom"/>
          </w:tcPr>
          <w:p w14:paraId="3750EA4A" w14:textId="77777777" w:rsidR="002541AD" w:rsidRDefault="002541AD">
            <w:pPr>
              <w:textAlignment w:val="bottom"/>
              <w:rPr>
                <w:rFonts w:ascii="Times New Roman" w:hAnsi="Times New Roman"/>
                <w:sz w:val="20"/>
                <w:szCs w:val="20"/>
              </w:rPr>
            </w:pPr>
          </w:p>
        </w:tc>
      </w:tr>
      <w:tr w:rsidR="002541AD" w14:paraId="3750EA53" w14:textId="77777777">
        <w:tc>
          <w:tcPr>
            <w:tcW w:w="0" w:type="auto"/>
            <w:shd w:val="clear" w:color="auto" w:fill="auto"/>
            <w:tcMar>
              <w:top w:w="40" w:type="dxa"/>
              <w:left w:w="40" w:type="dxa"/>
              <w:bottom w:w="40" w:type="dxa"/>
              <w:right w:w="40" w:type="dxa"/>
            </w:tcMar>
          </w:tcPr>
          <w:p w14:paraId="3750EA4C"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Other</w:t>
            </w:r>
          </w:p>
        </w:tc>
        <w:tc>
          <w:tcPr>
            <w:tcW w:w="0" w:type="auto"/>
            <w:shd w:val="clear" w:color="auto" w:fill="auto"/>
            <w:tcMar>
              <w:top w:w="40" w:type="dxa"/>
              <w:left w:w="40" w:type="dxa"/>
              <w:bottom w:w="40" w:type="dxa"/>
              <w:right w:w="40" w:type="dxa"/>
            </w:tcMar>
            <w:vAlign w:val="bottom"/>
          </w:tcPr>
          <w:p w14:paraId="3750EA4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A4E"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1,726</w:t>
            </w:r>
          </w:p>
        </w:tc>
        <w:tc>
          <w:tcPr>
            <w:tcW w:w="0" w:type="auto"/>
            <w:shd w:val="clear" w:color="auto" w:fill="auto"/>
            <w:vAlign w:val="bottom"/>
          </w:tcPr>
          <w:p w14:paraId="3750EA4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5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A51"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1,753</w:t>
            </w:r>
          </w:p>
        </w:tc>
        <w:tc>
          <w:tcPr>
            <w:tcW w:w="0" w:type="auto"/>
            <w:shd w:val="clear" w:color="auto" w:fill="auto"/>
            <w:vAlign w:val="bottom"/>
          </w:tcPr>
          <w:p w14:paraId="3750EA52" w14:textId="77777777" w:rsidR="002541AD" w:rsidRDefault="002541AD">
            <w:pPr>
              <w:textAlignment w:val="bottom"/>
              <w:rPr>
                <w:rFonts w:ascii="Times New Roman" w:hAnsi="Times New Roman"/>
                <w:sz w:val="20"/>
                <w:szCs w:val="20"/>
              </w:rPr>
            </w:pPr>
          </w:p>
        </w:tc>
      </w:tr>
      <w:tr w:rsidR="002541AD" w14:paraId="3750EA5D" w14:textId="77777777">
        <w:tc>
          <w:tcPr>
            <w:tcW w:w="0" w:type="auto"/>
            <w:shd w:val="clear" w:color="auto" w:fill="auto"/>
            <w:tcMar>
              <w:top w:w="40" w:type="dxa"/>
              <w:left w:w="40" w:type="dxa"/>
              <w:bottom w:w="40" w:type="dxa"/>
              <w:right w:w="40" w:type="dxa"/>
            </w:tcMar>
          </w:tcPr>
          <w:p w14:paraId="3750EA54"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Total</w:t>
            </w:r>
          </w:p>
        </w:tc>
        <w:tc>
          <w:tcPr>
            <w:tcW w:w="0" w:type="auto"/>
            <w:shd w:val="clear" w:color="auto" w:fill="auto"/>
            <w:tcMar>
              <w:top w:w="40" w:type="dxa"/>
              <w:left w:w="40" w:type="dxa"/>
              <w:bottom w:w="40" w:type="dxa"/>
              <w:right w:w="40" w:type="dxa"/>
            </w:tcMar>
            <w:vAlign w:val="bottom"/>
          </w:tcPr>
          <w:p w14:paraId="3750EA5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A56"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A57"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42,624</w:t>
            </w:r>
          </w:p>
        </w:tc>
        <w:tc>
          <w:tcPr>
            <w:tcW w:w="0" w:type="auto"/>
            <w:tcBorders>
              <w:top w:val="single" w:sz="8" w:space="0" w:color="333333"/>
              <w:bottom w:val="double" w:sz="6" w:space="0" w:color="333333"/>
            </w:tcBorders>
            <w:shd w:val="clear" w:color="auto" w:fill="auto"/>
            <w:vAlign w:val="bottom"/>
          </w:tcPr>
          <w:p w14:paraId="3750EA5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5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A5A"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A5B"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40,036</w:t>
            </w:r>
          </w:p>
        </w:tc>
        <w:tc>
          <w:tcPr>
            <w:tcW w:w="0" w:type="auto"/>
            <w:tcBorders>
              <w:top w:val="single" w:sz="8" w:space="0" w:color="333333"/>
              <w:bottom w:val="double" w:sz="6" w:space="0" w:color="333333"/>
            </w:tcBorders>
            <w:shd w:val="clear" w:color="auto" w:fill="auto"/>
            <w:vAlign w:val="bottom"/>
          </w:tcPr>
          <w:p w14:paraId="3750EA5C" w14:textId="77777777" w:rsidR="002541AD" w:rsidRDefault="002541AD">
            <w:pPr>
              <w:textAlignment w:val="bottom"/>
              <w:rPr>
                <w:rFonts w:ascii="Times New Roman" w:hAnsi="Times New Roman"/>
                <w:sz w:val="20"/>
                <w:szCs w:val="20"/>
              </w:rPr>
            </w:pPr>
          </w:p>
        </w:tc>
      </w:tr>
    </w:tbl>
    <w:p w14:paraId="3750EA5E" w14:textId="77777777" w:rsidR="002541AD" w:rsidRDefault="00901AA6">
      <w:pPr>
        <w:spacing w:line="288" w:lineRule="auto"/>
        <w:rPr>
          <w:rFonts w:ascii="Times New Roman" w:hAnsi="Times New Roman"/>
        </w:rPr>
      </w:pPr>
      <w:r>
        <w:rPr>
          <w:rFonts w:ascii="Arial" w:eastAsia="宋体" w:hAnsi="Arial" w:cs="Arial"/>
          <w:b/>
          <w:bCs/>
          <w:color w:val="0071C5"/>
        </w:rPr>
        <w:t xml:space="preserve">FAIR VALUE OF DERIVATIVE INSTRUMENTS </w:t>
      </w:r>
    </w:p>
    <w:tbl>
      <w:tblPr>
        <w:tblW w:w="5000" w:type="pct"/>
        <w:tblCellMar>
          <w:left w:w="0" w:type="dxa"/>
          <w:right w:w="0" w:type="dxa"/>
        </w:tblCellMar>
        <w:tblLook w:val="04A0" w:firstRow="1" w:lastRow="0" w:firstColumn="1" w:lastColumn="0" w:noHBand="0" w:noVBand="1"/>
      </w:tblPr>
      <w:tblGrid>
        <w:gridCol w:w="3905"/>
        <w:gridCol w:w="130"/>
        <w:gridCol w:w="142"/>
        <w:gridCol w:w="750"/>
        <w:gridCol w:w="61"/>
        <w:gridCol w:w="130"/>
        <w:gridCol w:w="142"/>
        <w:gridCol w:w="814"/>
        <w:gridCol w:w="81"/>
        <w:gridCol w:w="130"/>
        <w:gridCol w:w="143"/>
        <w:gridCol w:w="650"/>
        <w:gridCol w:w="61"/>
        <w:gridCol w:w="130"/>
        <w:gridCol w:w="142"/>
        <w:gridCol w:w="814"/>
        <w:gridCol w:w="81"/>
      </w:tblGrid>
      <w:tr w:rsidR="002541AD" w14:paraId="3750EA60" w14:textId="77777777">
        <w:tc>
          <w:tcPr>
            <w:tcW w:w="0" w:type="auto"/>
            <w:gridSpan w:val="17"/>
            <w:shd w:val="clear" w:color="auto" w:fill="auto"/>
            <w:vAlign w:val="center"/>
          </w:tcPr>
          <w:p w14:paraId="3750EA5F" w14:textId="77777777" w:rsidR="002541AD" w:rsidRDefault="002541AD">
            <w:pPr>
              <w:rPr>
                <w:rFonts w:ascii="Times New Roman" w:hAnsi="Times New Roman"/>
                <w:sz w:val="20"/>
                <w:szCs w:val="20"/>
              </w:rPr>
            </w:pPr>
          </w:p>
        </w:tc>
      </w:tr>
      <w:tr w:rsidR="002541AD" w14:paraId="3750EA72" w14:textId="77777777">
        <w:tc>
          <w:tcPr>
            <w:tcW w:w="2400" w:type="pct"/>
            <w:shd w:val="clear" w:color="auto" w:fill="auto"/>
            <w:vAlign w:val="center"/>
          </w:tcPr>
          <w:p w14:paraId="3750EA61" w14:textId="77777777" w:rsidR="002541AD" w:rsidRDefault="002541AD">
            <w:pPr>
              <w:rPr>
                <w:rFonts w:ascii="Times New Roman" w:hAnsi="Times New Roman"/>
                <w:sz w:val="20"/>
                <w:szCs w:val="20"/>
              </w:rPr>
            </w:pPr>
          </w:p>
        </w:tc>
        <w:tc>
          <w:tcPr>
            <w:tcW w:w="50" w:type="pct"/>
            <w:shd w:val="clear" w:color="auto" w:fill="auto"/>
            <w:vAlign w:val="center"/>
          </w:tcPr>
          <w:p w14:paraId="3750EA62" w14:textId="77777777" w:rsidR="002541AD" w:rsidRDefault="002541AD">
            <w:pPr>
              <w:rPr>
                <w:rFonts w:ascii="Times New Roman" w:hAnsi="Times New Roman"/>
                <w:sz w:val="20"/>
                <w:szCs w:val="20"/>
              </w:rPr>
            </w:pPr>
          </w:p>
        </w:tc>
        <w:tc>
          <w:tcPr>
            <w:tcW w:w="50" w:type="pct"/>
            <w:shd w:val="clear" w:color="auto" w:fill="auto"/>
            <w:vAlign w:val="center"/>
          </w:tcPr>
          <w:p w14:paraId="3750EA63" w14:textId="77777777" w:rsidR="002541AD" w:rsidRDefault="002541AD">
            <w:pPr>
              <w:rPr>
                <w:rFonts w:ascii="Times New Roman" w:hAnsi="Times New Roman"/>
                <w:sz w:val="20"/>
                <w:szCs w:val="20"/>
              </w:rPr>
            </w:pPr>
          </w:p>
        </w:tc>
        <w:tc>
          <w:tcPr>
            <w:tcW w:w="500" w:type="pct"/>
            <w:shd w:val="clear" w:color="auto" w:fill="auto"/>
            <w:vAlign w:val="center"/>
          </w:tcPr>
          <w:p w14:paraId="3750EA64" w14:textId="77777777" w:rsidR="002541AD" w:rsidRDefault="002541AD">
            <w:pPr>
              <w:rPr>
                <w:rFonts w:ascii="Times New Roman" w:hAnsi="Times New Roman"/>
                <w:sz w:val="20"/>
                <w:szCs w:val="20"/>
              </w:rPr>
            </w:pPr>
          </w:p>
        </w:tc>
        <w:tc>
          <w:tcPr>
            <w:tcW w:w="50" w:type="pct"/>
            <w:shd w:val="clear" w:color="auto" w:fill="auto"/>
            <w:vAlign w:val="center"/>
          </w:tcPr>
          <w:p w14:paraId="3750EA65" w14:textId="77777777" w:rsidR="002541AD" w:rsidRDefault="002541AD">
            <w:pPr>
              <w:rPr>
                <w:rFonts w:ascii="Times New Roman" w:hAnsi="Times New Roman"/>
                <w:sz w:val="20"/>
                <w:szCs w:val="20"/>
              </w:rPr>
            </w:pPr>
          </w:p>
        </w:tc>
        <w:tc>
          <w:tcPr>
            <w:tcW w:w="50" w:type="pct"/>
            <w:shd w:val="clear" w:color="auto" w:fill="auto"/>
            <w:vAlign w:val="center"/>
          </w:tcPr>
          <w:p w14:paraId="3750EA66" w14:textId="77777777" w:rsidR="002541AD" w:rsidRDefault="002541AD">
            <w:pPr>
              <w:rPr>
                <w:rFonts w:ascii="Times New Roman" w:hAnsi="Times New Roman"/>
                <w:sz w:val="20"/>
                <w:szCs w:val="20"/>
              </w:rPr>
            </w:pPr>
          </w:p>
        </w:tc>
        <w:tc>
          <w:tcPr>
            <w:tcW w:w="50" w:type="pct"/>
            <w:shd w:val="clear" w:color="auto" w:fill="auto"/>
            <w:vAlign w:val="center"/>
          </w:tcPr>
          <w:p w14:paraId="3750EA67" w14:textId="77777777" w:rsidR="002541AD" w:rsidRDefault="002541AD">
            <w:pPr>
              <w:rPr>
                <w:rFonts w:ascii="Times New Roman" w:hAnsi="Times New Roman"/>
                <w:sz w:val="20"/>
                <w:szCs w:val="20"/>
              </w:rPr>
            </w:pPr>
          </w:p>
        </w:tc>
        <w:tc>
          <w:tcPr>
            <w:tcW w:w="500" w:type="pct"/>
            <w:shd w:val="clear" w:color="auto" w:fill="auto"/>
            <w:vAlign w:val="center"/>
          </w:tcPr>
          <w:p w14:paraId="3750EA68" w14:textId="77777777" w:rsidR="002541AD" w:rsidRDefault="002541AD">
            <w:pPr>
              <w:rPr>
                <w:rFonts w:ascii="Times New Roman" w:hAnsi="Times New Roman"/>
                <w:sz w:val="20"/>
                <w:szCs w:val="20"/>
              </w:rPr>
            </w:pPr>
          </w:p>
        </w:tc>
        <w:tc>
          <w:tcPr>
            <w:tcW w:w="50" w:type="pct"/>
            <w:shd w:val="clear" w:color="auto" w:fill="auto"/>
            <w:vAlign w:val="center"/>
          </w:tcPr>
          <w:p w14:paraId="3750EA69" w14:textId="77777777" w:rsidR="002541AD" w:rsidRDefault="002541AD">
            <w:pPr>
              <w:rPr>
                <w:rFonts w:ascii="Times New Roman" w:hAnsi="Times New Roman"/>
                <w:sz w:val="20"/>
                <w:szCs w:val="20"/>
              </w:rPr>
            </w:pPr>
          </w:p>
        </w:tc>
        <w:tc>
          <w:tcPr>
            <w:tcW w:w="50" w:type="pct"/>
            <w:shd w:val="clear" w:color="auto" w:fill="auto"/>
            <w:vAlign w:val="center"/>
          </w:tcPr>
          <w:p w14:paraId="3750EA6A" w14:textId="77777777" w:rsidR="002541AD" w:rsidRDefault="002541AD">
            <w:pPr>
              <w:rPr>
                <w:rFonts w:ascii="Times New Roman" w:hAnsi="Times New Roman"/>
                <w:sz w:val="20"/>
                <w:szCs w:val="20"/>
              </w:rPr>
            </w:pPr>
          </w:p>
        </w:tc>
        <w:tc>
          <w:tcPr>
            <w:tcW w:w="50" w:type="pct"/>
            <w:shd w:val="clear" w:color="auto" w:fill="auto"/>
            <w:vAlign w:val="center"/>
          </w:tcPr>
          <w:p w14:paraId="3750EA6B" w14:textId="77777777" w:rsidR="002541AD" w:rsidRDefault="002541AD">
            <w:pPr>
              <w:rPr>
                <w:rFonts w:ascii="Times New Roman" w:hAnsi="Times New Roman"/>
                <w:sz w:val="20"/>
                <w:szCs w:val="20"/>
              </w:rPr>
            </w:pPr>
          </w:p>
        </w:tc>
        <w:tc>
          <w:tcPr>
            <w:tcW w:w="500" w:type="pct"/>
            <w:shd w:val="clear" w:color="auto" w:fill="auto"/>
            <w:vAlign w:val="center"/>
          </w:tcPr>
          <w:p w14:paraId="3750EA6C" w14:textId="77777777" w:rsidR="002541AD" w:rsidRDefault="002541AD">
            <w:pPr>
              <w:rPr>
                <w:rFonts w:ascii="Times New Roman" w:hAnsi="Times New Roman"/>
                <w:sz w:val="20"/>
                <w:szCs w:val="20"/>
              </w:rPr>
            </w:pPr>
          </w:p>
        </w:tc>
        <w:tc>
          <w:tcPr>
            <w:tcW w:w="50" w:type="pct"/>
            <w:shd w:val="clear" w:color="auto" w:fill="auto"/>
            <w:vAlign w:val="center"/>
          </w:tcPr>
          <w:p w14:paraId="3750EA6D" w14:textId="77777777" w:rsidR="002541AD" w:rsidRDefault="002541AD">
            <w:pPr>
              <w:rPr>
                <w:rFonts w:ascii="Times New Roman" w:hAnsi="Times New Roman"/>
                <w:sz w:val="20"/>
                <w:szCs w:val="20"/>
              </w:rPr>
            </w:pPr>
          </w:p>
        </w:tc>
        <w:tc>
          <w:tcPr>
            <w:tcW w:w="50" w:type="pct"/>
            <w:shd w:val="clear" w:color="auto" w:fill="auto"/>
            <w:vAlign w:val="center"/>
          </w:tcPr>
          <w:p w14:paraId="3750EA6E" w14:textId="77777777" w:rsidR="002541AD" w:rsidRDefault="002541AD">
            <w:pPr>
              <w:rPr>
                <w:rFonts w:ascii="Times New Roman" w:hAnsi="Times New Roman"/>
                <w:sz w:val="20"/>
                <w:szCs w:val="20"/>
              </w:rPr>
            </w:pPr>
          </w:p>
        </w:tc>
        <w:tc>
          <w:tcPr>
            <w:tcW w:w="50" w:type="pct"/>
            <w:shd w:val="clear" w:color="auto" w:fill="auto"/>
            <w:vAlign w:val="center"/>
          </w:tcPr>
          <w:p w14:paraId="3750EA6F" w14:textId="77777777" w:rsidR="002541AD" w:rsidRDefault="002541AD">
            <w:pPr>
              <w:rPr>
                <w:rFonts w:ascii="Times New Roman" w:hAnsi="Times New Roman"/>
                <w:sz w:val="20"/>
                <w:szCs w:val="20"/>
              </w:rPr>
            </w:pPr>
          </w:p>
        </w:tc>
        <w:tc>
          <w:tcPr>
            <w:tcW w:w="500" w:type="pct"/>
            <w:shd w:val="clear" w:color="auto" w:fill="auto"/>
            <w:vAlign w:val="center"/>
          </w:tcPr>
          <w:p w14:paraId="3750EA70" w14:textId="77777777" w:rsidR="002541AD" w:rsidRDefault="002541AD">
            <w:pPr>
              <w:rPr>
                <w:rFonts w:ascii="Times New Roman" w:hAnsi="Times New Roman"/>
                <w:sz w:val="20"/>
                <w:szCs w:val="20"/>
              </w:rPr>
            </w:pPr>
          </w:p>
        </w:tc>
        <w:tc>
          <w:tcPr>
            <w:tcW w:w="50" w:type="pct"/>
            <w:shd w:val="clear" w:color="auto" w:fill="auto"/>
            <w:vAlign w:val="center"/>
          </w:tcPr>
          <w:p w14:paraId="3750EA71" w14:textId="77777777" w:rsidR="002541AD" w:rsidRDefault="002541AD">
            <w:pPr>
              <w:rPr>
                <w:rFonts w:ascii="Times New Roman" w:hAnsi="Times New Roman"/>
                <w:sz w:val="20"/>
                <w:szCs w:val="20"/>
              </w:rPr>
            </w:pPr>
          </w:p>
        </w:tc>
      </w:tr>
      <w:tr w:rsidR="002541AD" w14:paraId="3750EA78" w14:textId="77777777">
        <w:tc>
          <w:tcPr>
            <w:tcW w:w="0" w:type="auto"/>
            <w:shd w:val="clear" w:color="auto" w:fill="auto"/>
            <w:tcMar>
              <w:top w:w="40" w:type="dxa"/>
              <w:left w:w="40" w:type="dxa"/>
              <w:bottom w:w="40" w:type="dxa"/>
              <w:right w:w="40" w:type="dxa"/>
            </w:tcMar>
            <w:vAlign w:val="bottom"/>
          </w:tcPr>
          <w:p w14:paraId="3750EA73"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 </w:t>
            </w:r>
          </w:p>
        </w:tc>
        <w:tc>
          <w:tcPr>
            <w:tcW w:w="0" w:type="auto"/>
            <w:shd w:val="clear" w:color="auto" w:fill="auto"/>
            <w:tcMar>
              <w:top w:w="40" w:type="dxa"/>
              <w:left w:w="40" w:type="dxa"/>
              <w:bottom w:w="40" w:type="dxa"/>
              <w:right w:w="40" w:type="dxa"/>
            </w:tcMar>
            <w:vAlign w:val="bottom"/>
          </w:tcPr>
          <w:p w14:paraId="3750EA7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3750EA75"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March 28, 2020</w:t>
            </w:r>
          </w:p>
        </w:tc>
        <w:tc>
          <w:tcPr>
            <w:tcW w:w="0" w:type="auto"/>
            <w:shd w:val="clear" w:color="auto" w:fill="auto"/>
            <w:tcMar>
              <w:top w:w="40" w:type="dxa"/>
              <w:left w:w="40" w:type="dxa"/>
              <w:bottom w:w="40" w:type="dxa"/>
              <w:right w:w="40" w:type="dxa"/>
            </w:tcMar>
            <w:vAlign w:val="bottom"/>
          </w:tcPr>
          <w:p w14:paraId="3750EA7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3750EA77"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December 28, 2019</w:t>
            </w:r>
          </w:p>
        </w:tc>
      </w:tr>
      <w:tr w:rsidR="002541AD" w14:paraId="3750EA82"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A79"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EA7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A7B"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Assets</w:t>
            </w:r>
            <w:r>
              <w:rPr>
                <w:rFonts w:ascii="Arial" w:eastAsia="宋体" w:hAnsi="Arial" w:cs="Arial"/>
                <w:b/>
                <w:bCs/>
                <w:color w:val="333333"/>
                <w:sz w:val="12"/>
                <w:szCs w:val="12"/>
              </w:rPr>
              <w:t>1</w:t>
            </w:r>
          </w:p>
        </w:tc>
        <w:tc>
          <w:tcPr>
            <w:tcW w:w="0" w:type="auto"/>
            <w:shd w:val="clear" w:color="auto" w:fill="auto"/>
            <w:tcMar>
              <w:top w:w="40" w:type="dxa"/>
              <w:left w:w="40" w:type="dxa"/>
              <w:bottom w:w="40" w:type="dxa"/>
              <w:right w:w="40" w:type="dxa"/>
            </w:tcMar>
            <w:vAlign w:val="bottom"/>
          </w:tcPr>
          <w:p w14:paraId="3750EA7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A7D"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Liabilities</w:t>
            </w:r>
            <w:r>
              <w:rPr>
                <w:rFonts w:ascii="Arial" w:eastAsia="宋体" w:hAnsi="Arial" w:cs="Arial"/>
                <w:b/>
                <w:bCs/>
                <w:color w:val="333333"/>
                <w:sz w:val="12"/>
                <w:szCs w:val="12"/>
              </w:rPr>
              <w:t>2</w:t>
            </w:r>
          </w:p>
        </w:tc>
        <w:tc>
          <w:tcPr>
            <w:tcW w:w="0" w:type="auto"/>
            <w:shd w:val="clear" w:color="auto" w:fill="auto"/>
            <w:tcMar>
              <w:top w:w="40" w:type="dxa"/>
              <w:left w:w="40" w:type="dxa"/>
              <w:bottom w:w="40" w:type="dxa"/>
              <w:right w:w="40" w:type="dxa"/>
            </w:tcMar>
            <w:vAlign w:val="bottom"/>
          </w:tcPr>
          <w:p w14:paraId="3750EA7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A7F"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Assets</w:t>
            </w:r>
            <w:r>
              <w:rPr>
                <w:rFonts w:ascii="Arial" w:eastAsia="宋体" w:hAnsi="Arial" w:cs="Arial"/>
                <w:b/>
                <w:bCs/>
                <w:color w:val="333333"/>
                <w:sz w:val="12"/>
                <w:szCs w:val="12"/>
              </w:rPr>
              <w:t>1</w:t>
            </w:r>
          </w:p>
        </w:tc>
        <w:tc>
          <w:tcPr>
            <w:tcW w:w="0" w:type="auto"/>
            <w:shd w:val="clear" w:color="auto" w:fill="auto"/>
            <w:tcMar>
              <w:top w:w="40" w:type="dxa"/>
              <w:left w:w="40" w:type="dxa"/>
              <w:bottom w:w="40" w:type="dxa"/>
              <w:right w:w="40" w:type="dxa"/>
            </w:tcMar>
            <w:vAlign w:val="bottom"/>
          </w:tcPr>
          <w:p w14:paraId="3750EA8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A81"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Liabilities</w:t>
            </w:r>
            <w:r>
              <w:rPr>
                <w:rFonts w:ascii="Arial" w:eastAsia="宋体" w:hAnsi="Arial" w:cs="Arial"/>
                <w:b/>
                <w:bCs/>
                <w:color w:val="333333"/>
                <w:sz w:val="12"/>
                <w:szCs w:val="12"/>
              </w:rPr>
              <w:t>2</w:t>
            </w:r>
          </w:p>
        </w:tc>
      </w:tr>
      <w:tr w:rsidR="002541AD" w14:paraId="3750EA8C" w14:textId="77777777">
        <w:tc>
          <w:tcPr>
            <w:tcW w:w="0" w:type="auto"/>
            <w:shd w:val="clear" w:color="auto" w:fill="auto"/>
            <w:tcMar>
              <w:top w:w="40" w:type="dxa"/>
              <w:left w:w="40" w:type="dxa"/>
              <w:bottom w:w="40" w:type="dxa"/>
              <w:right w:w="40" w:type="dxa"/>
            </w:tcMar>
          </w:tcPr>
          <w:p w14:paraId="3750EA83"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Derivatives designated as hedging instruments:</w:t>
            </w:r>
          </w:p>
        </w:tc>
        <w:tc>
          <w:tcPr>
            <w:tcW w:w="0" w:type="auto"/>
            <w:shd w:val="clear" w:color="auto" w:fill="auto"/>
            <w:tcMar>
              <w:top w:w="40" w:type="dxa"/>
              <w:left w:w="40" w:type="dxa"/>
              <w:bottom w:w="40" w:type="dxa"/>
              <w:right w:w="40" w:type="dxa"/>
            </w:tcMar>
            <w:vAlign w:val="bottom"/>
          </w:tcPr>
          <w:p w14:paraId="3750EA8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A8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A8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A8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A8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A8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A8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A8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A9E" w14:textId="77777777">
        <w:tc>
          <w:tcPr>
            <w:tcW w:w="0" w:type="auto"/>
            <w:shd w:val="clear" w:color="auto" w:fill="auto"/>
            <w:tcMar>
              <w:top w:w="40" w:type="dxa"/>
              <w:left w:w="240" w:type="dxa"/>
              <w:bottom w:w="40" w:type="dxa"/>
              <w:right w:w="40" w:type="dxa"/>
            </w:tcMar>
          </w:tcPr>
          <w:p w14:paraId="3750EA8D"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Foreign currency contracts</w:t>
            </w:r>
            <w:r>
              <w:rPr>
                <w:rFonts w:ascii="Arial" w:eastAsia="宋体" w:hAnsi="Arial" w:cs="Arial"/>
                <w:color w:val="333333"/>
                <w:sz w:val="12"/>
                <w:szCs w:val="12"/>
              </w:rPr>
              <w:t>3</w:t>
            </w:r>
          </w:p>
        </w:tc>
        <w:tc>
          <w:tcPr>
            <w:tcW w:w="0" w:type="auto"/>
            <w:shd w:val="clear" w:color="auto" w:fill="auto"/>
            <w:tcMar>
              <w:top w:w="40" w:type="dxa"/>
              <w:left w:w="40" w:type="dxa"/>
              <w:bottom w:w="40" w:type="dxa"/>
              <w:right w:w="40" w:type="dxa"/>
            </w:tcMar>
            <w:vAlign w:val="bottom"/>
          </w:tcPr>
          <w:p w14:paraId="3750EA8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A8F"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A9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10</w:t>
            </w:r>
          </w:p>
        </w:tc>
        <w:tc>
          <w:tcPr>
            <w:tcW w:w="0" w:type="auto"/>
            <w:shd w:val="clear" w:color="auto" w:fill="auto"/>
            <w:vAlign w:val="bottom"/>
          </w:tcPr>
          <w:p w14:paraId="3750EA9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9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A93"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A94"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465</w:t>
            </w:r>
          </w:p>
        </w:tc>
        <w:tc>
          <w:tcPr>
            <w:tcW w:w="0" w:type="auto"/>
            <w:shd w:val="clear" w:color="auto" w:fill="auto"/>
            <w:vAlign w:val="bottom"/>
          </w:tcPr>
          <w:p w14:paraId="3750EA9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9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A97"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A9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56</w:t>
            </w:r>
          </w:p>
        </w:tc>
        <w:tc>
          <w:tcPr>
            <w:tcW w:w="0" w:type="auto"/>
            <w:shd w:val="clear" w:color="auto" w:fill="auto"/>
            <w:vAlign w:val="bottom"/>
          </w:tcPr>
          <w:p w14:paraId="3750EA99"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9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A9B"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A9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159</w:t>
            </w:r>
          </w:p>
        </w:tc>
        <w:tc>
          <w:tcPr>
            <w:tcW w:w="0" w:type="auto"/>
            <w:shd w:val="clear" w:color="auto" w:fill="auto"/>
            <w:vAlign w:val="bottom"/>
          </w:tcPr>
          <w:p w14:paraId="3750EA9D" w14:textId="77777777" w:rsidR="002541AD" w:rsidRDefault="002541AD">
            <w:pPr>
              <w:textAlignment w:val="bottom"/>
              <w:rPr>
                <w:rFonts w:ascii="Times New Roman" w:hAnsi="Times New Roman"/>
                <w:sz w:val="20"/>
                <w:szCs w:val="20"/>
              </w:rPr>
            </w:pPr>
          </w:p>
        </w:tc>
      </w:tr>
      <w:tr w:rsidR="002541AD" w14:paraId="3750EAAC" w14:textId="77777777">
        <w:tc>
          <w:tcPr>
            <w:tcW w:w="0" w:type="auto"/>
            <w:shd w:val="clear" w:color="auto" w:fill="auto"/>
            <w:tcMar>
              <w:top w:w="40" w:type="dxa"/>
              <w:left w:w="240" w:type="dxa"/>
              <w:bottom w:w="40" w:type="dxa"/>
              <w:right w:w="40" w:type="dxa"/>
            </w:tcMar>
          </w:tcPr>
          <w:p w14:paraId="3750EA9F"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Interest rate contracts</w:t>
            </w:r>
          </w:p>
        </w:tc>
        <w:tc>
          <w:tcPr>
            <w:tcW w:w="0" w:type="auto"/>
            <w:shd w:val="clear" w:color="auto" w:fill="auto"/>
            <w:tcMar>
              <w:top w:w="40" w:type="dxa"/>
              <w:left w:w="40" w:type="dxa"/>
              <w:bottom w:w="40" w:type="dxa"/>
              <w:right w:w="40" w:type="dxa"/>
            </w:tcMar>
            <w:vAlign w:val="bottom"/>
          </w:tcPr>
          <w:p w14:paraId="3750EAA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AA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1,635</w:t>
            </w:r>
          </w:p>
        </w:tc>
        <w:tc>
          <w:tcPr>
            <w:tcW w:w="0" w:type="auto"/>
            <w:shd w:val="clear" w:color="auto" w:fill="auto"/>
            <w:vAlign w:val="bottom"/>
          </w:tcPr>
          <w:p w14:paraId="3750EAA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A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AA4"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AA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A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AA7"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690</w:t>
            </w:r>
          </w:p>
        </w:tc>
        <w:tc>
          <w:tcPr>
            <w:tcW w:w="0" w:type="auto"/>
            <w:shd w:val="clear" w:color="auto" w:fill="auto"/>
            <w:vAlign w:val="bottom"/>
          </w:tcPr>
          <w:p w14:paraId="3750EAA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A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AAA"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9</w:t>
            </w:r>
          </w:p>
        </w:tc>
        <w:tc>
          <w:tcPr>
            <w:tcW w:w="0" w:type="auto"/>
            <w:shd w:val="clear" w:color="auto" w:fill="auto"/>
            <w:vAlign w:val="bottom"/>
          </w:tcPr>
          <w:p w14:paraId="3750EAAB" w14:textId="77777777" w:rsidR="002541AD" w:rsidRDefault="002541AD">
            <w:pPr>
              <w:textAlignment w:val="bottom"/>
              <w:rPr>
                <w:rFonts w:ascii="Times New Roman" w:hAnsi="Times New Roman"/>
                <w:sz w:val="20"/>
                <w:szCs w:val="20"/>
              </w:rPr>
            </w:pPr>
          </w:p>
        </w:tc>
      </w:tr>
      <w:tr w:rsidR="002541AD" w14:paraId="3750EABA" w14:textId="77777777">
        <w:tc>
          <w:tcPr>
            <w:tcW w:w="0" w:type="auto"/>
            <w:shd w:val="clear" w:color="auto" w:fill="auto"/>
            <w:tcMar>
              <w:top w:w="40" w:type="dxa"/>
              <w:left w:w="40" w:type="dxa"/>
              <w:bottom w:w="40" w:type="dxa"/>
              <w:right w:w="40" w:type="dxa"/>
            </w:tcMar>
          </w:tcPr>
          <w:p w14:paraId="3750EAAD"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 xml:space="preserve">Total derivatives designated as hedging </w:t>
            </w:r>
            <w:r>
              <w:rPr>
                <w:rFonts w:ascii="Arial" w:eastAsia="宋体" w:hAnsi="Arial" w:cs="Arial"/>
                <w:b/>
                <w:bCs/>
                <w:color w:val="333333"/>
                <w:sz w:val="18"/>
                <w:szCs w:val="18"/>
              </w:rPr>
              <w:t>instruments</w:t>
            </w:r>
          </w:p>
        </w:tc>
        <w:tc>
          <w:tcPr>
            <w:tcW w:w="0" w:type="auto"/>
            <w:shd w:val="clear" w:color="auto" w:fill="auto"/>
            <w:tcMar>
              <w:top w:w="40" w:type="dxa"/>
              <w:left w:w="40" w:type="dxa"/>
              <w:bottom w:w="40" w:type="dxa"/>
              <w:right w:w="40" w:type="dxa"/>
            </w:tcMar>
            <w:vAlign w:val="bottom"/>
          </w:tcPr>
          <w:p w14:paraId="3750EAA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EAAF"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1,645</w:t>
            </w:r>
          </w:p>
        </w:tc>
        <w:tc>
          <w:tcPr>
            <w:tcW w:w="0" w:type="auto"/>
            <w:tcBorders>
              <w:top w:val="single" w:sz="8" w:space="0" w:color="333333"/>
              <w:bottom w:val="single" w:sz="8" w:space="0" w:color="333333"/>
            </w:tcBorders>
            <w:shd w:val="clear" w:color="auto" w:fill="auto"/>
            <w:vAlign w:val="bottom"/>
          </w:tcPr>
          <w:p w14:paraId="3750EAB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B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EAB2"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465</w:t>
            </w:r>
          </w:p>
        </w:tc>
        <w:tc>
          <w:tcPr>
            <w:tcW w:w="0" w:type="auto"/>
            <w:tcBorders>
              <w:top w:val="single" w:sz="8" w:space="0" w:color="333333"/>
              <w:bottom w:val="single" w:sz="8" w:space="0" w:color="333333"/>
            </w:tcBorders>
            <w:shd w:val="clear" w:color="auto" w:fill="auto"/>
            <w:vAlign w:val="bottom"/>
          </w:tcPr>
          <w:p w14:paraId="3750EAB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B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EAB5"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746</w:t>
            </w:r>
          </w:p>
        </w:tc>
        <w:tc>
          <w:tcPr>
            <w:tcW w:w="0" w:type="auto"/>
            <w:tcBorders>
              <w:top w:val="single" w:sz="8" w:space="0" w:color="333333"/>
              <w:bottom w:val="single" w:sz="8" w:space="0" w:color="333333"/>
            </w:tcBorders>
            <w:shd w:val="clear" w:color="auto" w:fill="auto"/>
            <w:vAlign w:val="bottom"/>
          </w:tcPr>
          <w:p w14:paraId="3750EAB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B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EAB8"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168</w:t>
            </w:r>
          </w:p>
        </w:tc>
        <w:tc>
          <w:tcPr>
            <w:tcW w:w="0" w:type="auto"/>
            <w:tcBorders>
              <w:top w:val="single" w:sz="8" w:space="0" w:color="333333"/>
              <w:bottom w:val="single" w:sz="8" w:space="0" w:color="333333"/>
            </w:tcBorders>
            <w:shd w:val="clear" w:color="auto" w:fill="auto"/>
            <w:vAlign w:val="bottom"/>
          </w:tcPr>
          <w:p w14:paraId="3750EAB9" w14:textId="77777777" w:rsidR="002541AD" w:rsidRDefault="002541AD">
            <w:pPr>
              <w:textAlignment w:val="bottom"/>
              <w:rPr>
                <w:rFonts w:ascii="Times New Roman" w:hAnsi="Times New Roman"/>
                <w:sz w:val="20"/>
                <w:szCs w:val="20"/>
              </w:rPr>
            </w:pPr>
          </w:p>
        </w:tc>
      </w:tr>
      <w:tr w:rsidR="002541AD" w14:paraId="3750EAC4" w14:textId="77777777">
        <w:tc>
          <w:tcPr>
            <w:tcW w:w="0" w:type="auto"/>
            <w:shd w:val="clear" w:color="auto" w:fill="auto"/>
            <w:tcMar>
              <w:top w:w="40" w:type="dxa"/>
              <w:left w:w="40" w:type="dxa"/>
              <w:bottom w:w="40" w:type="dxa"/>
              <w:right w:w="40" w:type="dxa"/>
            </w:tcMar>
          </w:tcPr>
          <w:p w14:paraId="3750EABB"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Derivatives not designated as hedging instruments:</w:t>
            </w:r>
          </w:p>
        </w:tc>
        <w:tc>
          <w:tcPr>
            <w:tcW w:w="0" w:type="auto"/>
            <w:shd w:val="clear" w:color="auto" w:fill="auto"/>
            <w:tcMar>
              <w:top w:w="40" w:type="dxa"/>
              <w:left w:w="40" w:type="dxa"/>
              <w:bottom w:w="40" w:type="dxa"/>
              <w:right w:w="40" w:type="dxa"/>
            </w:tcMar>
            <w:vAlign w:val="bottom"/>
          </w:tcPr>
          <w:p w14:paraId="3750EAB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AB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AB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AB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AC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AC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AC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AC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AD2" w14:textId="77777777">
        <w:tc>
          <w:tcPr>
            <w:tcW w:w="0" w:type="auto"/>
            <w:shd w:val="clear" w:color="auto" w:fill="auto"/>
            <w:tcMar>
              <w:top w:w="40" w:type="dxa"/>
              <w:left w:w="240" w:type="dxa"/>
              <w:bottom w:w="40" w:type="dxa"/>
              <w:right w:w="40" w:type="dxa"/>
            </w:tcMar>
          </w:tcPr>
          <w:p w14:paraId="3750EAC5"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Foreign currency contracts</w:t>
            </w:r>
            <w:r>
              <w:rPr>
                <w:rFonts w:ascii="Arial" w:eastAsia="宋体" w:hAnsi="Arial" w:cs="Arial"/>
                <w:color w:val="333333"/>
                <w:sz w:val="12"/>
                <w:szCs w:val="12"/>
              </w:rPr>
              <w:t>3</w:t>
            </w:r>
          </w:p>
        </w:tc>
        <w:tc>
          <w:tcPr>
            <w:tcW w:w="0" w:type="auto"/>
            <w:shd w:val="clear" w:color="auto" w:fill="auto"/>
            <w:tcMar>
              <w:top w:w="40" w:type="dxa"/>
              <w:left w:w="40" w:type="dxa"/>
              <w:bottom w:w="40" w:type="dxa"/>
              <w:right w:w="40" w:type="dxa"/>
            </w:tcMar>
            <w:vAlign w:val="bottom"/>
          </w:tcPr>
          <w:p w14:paraId="3750EAC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AC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362</w:t>
            </w:r>
          </w:p>
        </w:tc>
        <w:tc>
          <w:tcPr>
            <w:tcW w:w="0" w:type="auto"/>
            <w:shd w:val="clear" w:color="auto" w:fill="auto"/>
            <w:vAlign w:val="bottom"/>
          </w:tcPr>
          <w:p w14:paraId="3750EAC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C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AC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135</w:t>
            </w:r>
          </w:p>
        </w:tc>
        <w:tc>
          <w:tcPr>
            <w:tcW w:w="0" w:type="auto"/>
            <w:shd w:val="clear" w:color="auto" w:fill="auto"/>
            <w:vAlign w:val="bottom"/>
          </w:tcPr>
          <w:p w14:paraId="3750EAC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C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ACD"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179</w:t>
            </w:r>
          </w:p>
        </w:tc>
        <w:tc>
          <w:tcPr>
            <w:tcW w:w="0" w:type="auto"/>
            <w:shd w:val="clear" w:color="auto" w:fill="auto"/>
            <w:vAlign w:val="bottom"/>
          </w:tcPr>
          <w:p w14:paraId="3750EAC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C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AD0"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78</w:t>
            </w:r>
          </w:p>
        </w:tc>
        <w:tc>
          <w:tcPr>
            <w:tcW w:w="0" w:type="auto"/>
            <w:shd w:val="clear" w:color="auto" w:fill="auto"/>
            <w:vAlign w:val="bottom"/>
          </w:tcPr>
          <w:p w14:paraId="3750EAD1" w14:textId="77777777" w:rsidR="002541AD" w:rsidRDefault="002541AD">
            <w:pPr>
              <w:textAlignment w:val="bottom"/>
              <w:rPr>
                <w:rFonts w:ascii="Times New Roman" w:hAnsi="Times New Roman"/>
                <w:sz w:val="20"/>
                <w:szCs w:val="20"/>
              </w:rPr>
            </w:pPr>
          </w:p>
        </w:tc>
      </w:tr>
      <w:tr w:rsidR="002541AD" w14:paraId="3750EAE0" w14:textId="77777777">
        <w:tc>
          <w:tcPr>
            <w:tcW w:w="0" w:type="auto"/>
            <w:shd w:val="clear" w:color="auto" w:fill="auto"/>
            <w:tcMar>
              <w:top w:w="40" w:type="dxa"/>
              <w:left w:w="240" w:type="dxa"/>
              <w:bottom w:w="40" w:type="dxa"/>
              <w:right w:w="40" w:type="dxa"/>
            </w:tcMar>
          </w:tcPr>
          <w:p w14:paraId="3750EAD3"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Interest rate contracts</w:t>
            </w:r>
          </w:p>
        </w:tc>
        <w:tc>
          <w:tcPr>
            <w:tcW w:w="0" w:type="auto"/>
            <w:shd w:val="clear" w:color="auto" w:fill="auto"/>
            <w:tcMar>
              <w:top w:w="40" w:type="dxa"/>
              <w:left w:w="40" w:type="dxa"/>
              <w:bottom w:w="40" w:type="dxa"/>
              <w:right w:w="40" w:type="dxa"/>
            </w:tcMar>
            <w:vAlign w:val="bottom"/>
          </w:tcPr>
          <w:p w14:paraId="3750EAD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AD5"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w:t>
            </w:r>
          </w:p>
        </w:tc>
        <w:tc>
          <w:tcPr>
            <w:tcW w:w="0" w:type="auto"/>
            <w:shd w:val="clear" w:color="auto" w:fill="auto"/>
            <w:vAlign w:val="bottom"/>
          </w:tcPr>
          <w:p w14:paraId="3750EAD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D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AD8"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120</w:t>
            </w:r>
          </w:p>
        </w:tc>
        <w:tc>
          <w:tcPr>
            <w:tcW w:w="0" w:type="auto"/>
            <w:shd w:val="clear" w:color="auto" w:fill="auto"/>
            <w:vAlign w:val="bottom"/>
          </w:tcPr>
          <w:p w14:paraId="3750EAD9"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D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ADB"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11</w:t>
            </w:r>
          </w:p>
        </w:tc>
        <w:tc>
          <w:tcPr>
            <w:tcW w:w="0" w:type="auto"/>
            <w:shd w:val="clear" w:color="auto" w:fill="auto"/>
            <w:vAlign w:val="bottom"/>
          </w:tcPr>
          <w:p w14:paraId="3750EAD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D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AD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54</w:t>
            </w:r>
          </w:p>
        </w:tc>
        <w:tc>
          <w:tcPr>
            <w:tcW w:w="0" w:type="auto"/>
            <w:shd w:val="clear" w:color="auto" w:fill="auto"/>
            <w:vAlign w:val="bottom"/>
          </w:tcPr>
          <w:p w14:paraId="3750EADF" w14:textId="77777777" w:rsidR="002541AD" w:rsidRDefault="002541AD">
            <w:pPr>
              <w:textAlignment w:val="bottom"/>
              <w:rPr>
                <w:rFonts w:ascii="Times New Roman" w:hAnsi="Times New Roman"/>
                <w:sz w:val="20"/>
                <w:szCs w:val="20"/>
              </w:rPr>
            </w:pPr>
          </w:p>
        </w:tc>
      </w:tr>
      <w:tr w:rsidR="002541AD" w14:paraId="3750EAEE" w14:textId="77777777">
        <w:tc>
          <w:tcPr>
            <w:tcW w:w="0" w:type="auto"/>
            <w:shd w:val="clear" w:color="auto" w:fill="auto"/>
            <w:tcMar>
              <w:top w:w="40" w:type="dxa"/>
              <w:left w:w="240" w:type="dxa"/>
              <w:bottom w:w="40" w:type="dxa"/>
              <w:right w:w="40" w:type="dxa"/>
            </w:tcMar>
          </w:tcPr>
          <w:p w14:paraId="3750EAE1"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Equity contracts</w:t>
            </w:r>
          </w:p>
        </w:tc>
        <w:tc>
          <w:tcPr>
            <w:tcW w:w="0" w:type="auto"/>
            <w:shd w:val="clear" w:color="auto" w:fill="auto"/>
            <w:tcMar>
              <w:top w:w="40" w:type="dxa"/>
              <w:left w:w="40" w:type="dxa"/>
              <w:bottom w:w="40" w:type="dxa"/>
              <w:right w:w="40" w:type="dxa"/>
            </w:tcMar>
            <w:vAlign w:val="bottom"/>
          </w:tcPr>
          <w:p w14:paraId="3750EAE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AE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w:t>
            </w:r>
          </w:p>
        </w:tc>
        <w:tc>
          <w:tcPr>
            <w:tcW w:w="0" w:type="auto"/>
            <w:shd w:val="clear" w:color="auto" w:fill="auto"/>
            <w:vAlign w:val="bottom"/>
          </w:tcPr>
          <w:p w14:paraId="3750EAE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E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AE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190</w:t>
            </w:r>
          </w:p>
        </w:tc>
        <w:tc>
          <w:tcPr>
            <w:tcW w:w="0" w:type="auto"/>
            <w:shd w:val="clear" w:color="auto" w:fill="auto"/>
            <w:vAlign w:val="bottom"/>
          </w:tcPr>
          <w:p w14:paraId="3750EAE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E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AE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50</w:t>
            </w:r>
          </w:p>
        </w:tc>
        <w:tc>
          <w:tcPr>
            <w:tcW w:w="0" w:type="auto"/>
            <w:shd w:val="clear" w:color="auto" w:fill="auto"/>
            <w:vAlign w:val="bottom"/>
          </w:tcPr>
          <w:p w14:paraId="3750EAE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E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AE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w:t>
            </w:r>
          </w:p>
        </w:tc>
        <w:tc>
          <w:tcPr>
            <w:tcW w:w="0" w:type="auto"/>
            <w:shd w:val="clear" w:color="auto" w:fill="auto"/>
            <w:vAlign w:val="bottom"/>
          </w:tcPr>
          <w:p w14:paraId="3750EAED" w14:textId="77777777" w:rsidR="002541AD" w:rsidRDefault="002541AD">
            <w:pPr>
              <w:textAlignment w:val="bottom"/>
              <w:rPr>
                <w:rFonts w:ascii="Times New Roman" w:hAnsi="Times New Roman"/>
                <w:sz w:val="20"/>
                <w:szCs w:val="20"/>
              </w:rPr>
            </w:pPr>
          </w:p>
        </w:tc>
      </w:tr>
      <w:tr w:rsidR="002541AD" w14:paraId="3750EAFC" w14:textId="77777777">
        <w:tc>
          <w:tcPr>
            <w:tcW w:w="0" w:type="auto"/>
            <w:shd w:val="clear" w:color="auto" w:fill="auto"/>
            <w:tcMar>
              <w:top w:w="40" w:type="dxa"/>
              <w:left w:w="40" w:type="dxa"/>
              <w:bottom w:w="40" w:type="dxa"/>
              <w:right w:w="40" w:type="dxa"/>
            </w:tcMar>
          </w:tcPr>
          <w:p w14:paraId="3750EAEF"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Total derivatives not designated as hedging instruments</w:t>
            </w:r>
          </w:p>
        </w:tc>
        <w:tc>
          <w:tcPr>
            <w:tcW w:w="0" w:type="auto"/>
            <w:shd w:val="clear" w:color="auto" w:fill="auto"/>
            <w:tcMar>
              <w:top w:w="40" w:type="dxa"/>
              <w:left w:w="40" w:type="dxa"/>
              <w:bottom w:w="40" w:type="dxa"/>
              <w:right w:w="40" w:type="dxa"/>
            </w:tcMar>
            <w:vAlign w:val="bottom"/>
          </w:tcPr>
          <w:p w14:paraId="3750EAF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EAF1"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371</w:t>
            </w:r>
          </w:p>
        </w:tc>
        <w:tc>
          <w:tcPr>
            <w:tcW w:w="0" w:type="auto"/>
            <w:tcBorders>
              <w:top w:val="single" w:sz="8" w:space="0" w:color="333333"/>
              <w:bottom w:val="single" w:sz="8" w:space="0" w:color="333333"/>
            </w:tcBorders>
            <w:shd w:val="clear" w:color="auto" w:fill="auto"/>
            <w:vAlign w:val="bottom"/>
          </w:tcPr>
          <w:p w14:paraId="3750EAF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F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EAF4"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445</w:t>
            </w:r>
          </w:p>
        </w:tc>
        <w:tc>
          <w:tcPr>
            <w:tcW w:w="0" w:type="auto"/>
            <w:tcBorders>
              <w:top w:val="single" w:sz="8" w:space="0" w:color="333333"/>
              <w:bottom w:val="single" w:sz="8" w:space="0" w:color="333333"/>
            </w:tcBorders>
            <w:shd w:val="clear" w:color="auto" w:fill="auto"/>
            <w:vAlign w:val="bottom"/>
          </w:tcPr>
          <w:p w14:paraId="3750EAF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F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EAF7"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240</w:t>
            </w:r>
          </w:p>
        </w:tc>
        <w:tc>
          <w:tcPr>
            <w:tcW w:w="0" w:type="auto"/>
            <w:tcBorders>
              <w:top w:val="single" w:sz="8" w:space="0" w:color="333333"/>
              <w:bottom w:val="single" w:sz="8" w:space="0" w:color="333333"/>
            </w:tcBorders>
            <w:shd w:val="clear" w:color="auto" w:fill="auto"/>
            <w:vAlign w:val="bottom"/>
          </w:tcPr>
          <w:p w14:paraId="3750EAF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AF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single" w:sz="8" w:space="0" w:color="333333"/>
            </w:tcBorders>
            <w:shd w:val="clear" w:color="auto" w:fill="auto"/>
            <w:tcMar>
              <w:top w:w="40" w:type="dxa"/>
              <w:left w:w="40" w:type="dxa"/>
              <w:bottom w:w="40" w:type="dxa"/>
            </w:tcMar>
            <w:vAlign w:val="bottom"/>
          </w:tcPr>
          <w:p w14:paraId="3750EAFA"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135</w:t>
            </w:r>
          </w:p>
        </w:tc>
        <w:tc>
          <w:tcPr>
            <w:tcW w:w="0" w:type="auto"/>
            <w:tcBorders>
              <w:top w:val="single" w:sz="8" w:space="0" w:color="333333"/>
              <w:bottom w:val="single" w:sz="8" w:space="0" w:color="333333"/>
            </w:tcBorders>
            <w:shd w:val="clear" w:color="auto" w:fill="auto"/>
            <w:vAlign w:val="bottom"/>
          </w:tcPr>
          <w:p w14:paraId="3750EAFB" w14:textId="77777777" w:rsidR="002541AD" w:rsidRDefault="002541AD">
            <w:pPr>
              <w:textAlignment w:val="bottom"/>
              <w:rPr>
                <w:rFonts w:ascii="Times New Roman" w:hAnsi="Times New Roman"/>
                <w:sz w:val="20"/>
                <w:szCs w:val="20"/>
              </w:rPr>
            </w:pPr>
          </w:p>
        </w:tc>
      </w:tr>
      <w:tr w:rsidR="002541AD" w14:paraId="3750EB0E" w14:textId="77777777">
        <w:tc>
          <w:tcPr>
            <w:tcW w:w="0" w:type="auto"/>
            <w:shd w:val="clear" w:color="auto" w:fill="auto"/>
            <w:tcMar>
              <w:top w:w="40" w:type="dxa"/>
              <w:left w:w="40" w:type="dxa"/>
              <w:bottom w:w="40" w:type="dxa"/>
              <w:right w:w="40" w:type="dxa"/>
            </w:tcMar>
          </w:tcPr>
          <w:p w14:paraId="3750EAFD" w14:textId="77777777" w:rsidR="002541AD" w:rsidRDefault="00901AA6">
            <w:pPr>
              <w:textAlignment w:val="top"/>
              <w:rPr>
                <w:rFonts w:ascii="Times New Roman" w:hAnsi="Times New Roman"/>
                <w:sz w:val="18"/>
                <w:szCs w:val="18"/>
              </w:rPr>
            </w:pPr>
            <w:r>
              <w:rPr>
                <w:rFonts w:ascii="Arial" w:eastAsia="宋体" w:hAnsi="Arial" w:cs="Arial"/>
                <w:b/>
                <w:bCs/>
                <w:color w:val="333333"/>
                <w:sz w:val="18"/>
                <w:szCs w:val="18"/>
              </w:rPr>
              <w:t>Total derivatives</w:t>
            </w:r>
          </w:p>
        </w:tc>
        <w:tc>
          <w:tcPr>
            <w:tcW w:w="0" w:type="auto"/>
            <w:shd w:val="clear" w:color="auto" w:fill="auto"/>
            <w:tcMar>
              <w:top w:w="40" w:type="dxa"/>
              <w:left w:w="40" w:type="dxa"/>
              <w:bottom w:w="40" w:type="dxa"/>
              <w:right w:w="40" w:type="dxa"/>
            </w:tcMar>
            <w:vAlign w:val="bottom"/>
          </w:tcPr>
          <w:p w14:paraId="3750EAF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3750EAFF"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3750EB00"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2,016</w:t>
            </w:r>
          </w:p>
        </w:tc>
        <w:tc>
          <w:tcPr>
            <w:tcW w:w="0" w:type="auto"/>
            <w:tcBorders>
              <w:bottom w:val="double" w:sz="6" w:space="0" w:color="333333"/>
            </w:tcBorders>
            <w:shd w:val="clear" w:color="auto" w:fill="auto"/>
            <w:vAlign w:val="bottom"/>
          </w:tcPr>
          <w:p w14:paraId="3750EB0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B0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3750EB03"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3750EB04"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910</w:t>
            </w:r>
          </w:p>
        </w:tc>
        <w:tc>
          <w:tcPr>
            <w:tcW w:w="0" w:type="auto"/>
            <w:tcBorders>
              <w:bottom w:val="double" w:sz="6" w:space="0" w:color="333333"/>
            </w:tcBorders>
            <w:shd w:val="clear" w:color="auto" w:fill="auto"/>
            <w:vAlign w:val="bottom"/>
          </w:tcPr>
          <w:p w14:paraId="3750EB0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B0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3750EB07"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3750EB08"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986</w:t>
            </w:r>
          </w:p>
        </w:tc>
        <w:tc>
          <w:tcPr>
            <w:tcW w:w="0" w:type="auto"/>
            <w:tcBorders>
              <w:bottom w:val="double" w:sz="6" w:space="0" w:color="333333"/>
            </w:tcBorders>
            <w:shd w:val="clear" w:color="auto" w:fill="auto"/>
            <w:vAlign w:val="bottom"/>
          </w:tcPr>
          <w:p w14:paraId="3750EB09"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B0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3750EB0B"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3750EB0C"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303</w:t>
            </w:r>
          </w:p>
        </w:tc>
        <w:tc>
          <w:tcPr>
            <w:tcW w:w="0" w:type="auto"/>
            <w:tcBorders>
              <w:bottom w:val="double" w:sz="6" w:space="0" w:color="333333"/>
            </w:tcBorders>
            <w:shd w:val="clear" w:color="auto" w:fill="auto"/>
            <w:vAlign w:val="bottom"/>
          </w:tcPr>
          <w:p w14:paraId="3750EB0D" w14:textId="77777777" w:rsidR="002541AD" w:rsidRDefault="002541AD">
            <w:pPr>
              <w:textAlignment w:val="bottom"/>
              <w:rPr>
                <w:rFonts w:ascii="Times New Roman" w:hAnsi="Times New Roman"/>
                <w:sz w:val="20"/>
                <w:szCs w:val="20"/>
              </w:rPr>
            </w:pPr>
          </w:p>
        </w:tc>
      </w:tr>
    </w:tbl>
    <w:p w14:paraId="3750EB0F" w14:textId="77777777" w:rsidR="002541AD" w:rsidRDefault="002541AD">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105"/>
      </w:tblGrid>
      <w:tr w:rsidR="002541AD" w14:paraId="3750EB12" w14:textId="77777777">
        <w:trPr>
          <w:tblCellSpacing w:w="0" w:type="dxa"/>
        </w:trPr>
        <w:tc>
          <w:tcPr>
            <w:tcW w:w="720" w:type="dxa"/>
            <w:shd w:val="clear" w:color="auto" w:fill="auto"/>
            <w:vAlign w:val="center"/>
          </w:tcPr>
          <w:p w14:paraId="3750EB10" w14:textId="77777777" w:rsidR="002541AD" w:rsidRDefault="002541AD">
            <w:pPr>
              <w:rPr>
                <w:rFonts w:ascii="Times New Roman" w:hAnsi="Times New Roman"/>
                <w:sz w:val="20"/>
                <w:szCs w:val="20"/>
              </w:rPr>
            </w:pPr>
          </w:p>
        </w:tc>
        <w:tc>
          <w:tcPr>
            <w:tcW w:w="0" w:type="auto"/>
            <w:shd w:val="clear" w:color="auto" w:fill="auto"/>
            <w:vAlign w:val="center"/>
          </w:tcPr>
          <w:p w14:paraId="3750EB11" w14:textId="77777777" w:rsidR="002541AD" w:rsidRDefault="002541AD">
            <w:pPr>
              <w:rPr>
                <w:rFonts w:ascii="Times New Roman" w:hAnsi="Times New Roman"/>
                <w:sz w:val="20"/>
                <w:szCs w:val="20"/>
              </w:rPr>
            </w:pPr>
          </w:p>
        </w:tc>
      </w:tr>
      <w:tr w:rsidR="002541AD" w14:paraId="3750EB15" w14:textId="77777777">
        <w:trPr>
          <w:tblCellSpacing w:w="0" w:type="dxa"/>
        </w:trPr>
        <w:tc>
          <w:tcPr>
            <w:tcW w:w="0" w:type="auto"/>
            <w:shd w:val="clear" w:color="auto" w:fill="auto"/>
          </w:tcPr>
          <w:p w14:paraId="3750EB13"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0"/>
                <w:szCs w:val="10"/>
              </w:rPr>
              <w:t>1</w:t>
            </w:r>
            <w:r>
              <w:rPr>
                <w:rFonts w:ascii="Arial" w:eastAsia="宋体" w:hAnsi="Arial" w:cs="Arial"/>
                <w:i/>
                <w:iCs/>
                <w:color w:val="333333"/>
                <w:sz w:val="16"/>
                <w:szCs w:val="16"/>
              </w:rPr>
              <w:t> </w:t>
            </w:r>
          </w:p>
        </w:tc>
        <w:tc>
          <w:tcPr>
            <w:tcW w:w="0" w:type="auto"/>
            <w:shd w:val="clear" w:color="auto" w:fill="auto"/>
          </w:tcPr>
          <w:p w14:paraId="3750EB14"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6"/>
                <w:szCs w:val="16"/>
              </w:rPr>
              <w:t>Derivative assets are recorded as other assets, current and non-current.</w:t>
            </w:r>
          </w:p>
        </w:tc>
      </w:tr>
    </w:tbl>
    <w:p w14:paraId="3750EB16" w14:textId="77777777" w:rsidR="002541AD" w:rsidRDefault="002541AD">
      <w:pPr>
        <w:rPr>
          <w:vanish/>
        </w:rPr>
      </w:pPr>
    </w:p>
    <w:tbl>
      <w:tblPr>
        <w:tblW w:w="0" w:type="auto"/>
        <w:tblCellSpacing w:w="0" w:type="dxa"/>
        <w:tblCellMar>
          <w:left w:w="0" w:type="dxa"/>
          <w:right w:w="0" w:type="dxa"/>
        </w:tblCellMar>
        <w:tblLook w:val="04A0" w:firstRow="1" w:lastRow="0" w:firstColumn="1" w:lastColumn="0" w:noHBand="0" w:noVBand="1"/>
      </w:tblPr>
      <w:tblGrid>
        <w:gridCol w:w="720"/>
        <w:gridCol w:w="5390"/>
      </w:tblGrid>
      <w:tr w:rsidR="002541AD" w14:paraId="3750EB19" w14:textId="77777777">
        <w:trPr>
          <w:tblCellSpacing w:w="0" w:type="dxa"/>
        </w:trPr>
        <w:tc>
          <w:tcPr>
            <w:tcW w:w="720" w:type="dxa"/>
            <w:shd w:val="clear" w:color="auto" w:fill="auto"/>
            <w:vAlign w:val="center"/>
          </w:tcPr>
          <w:p w14:paraId="3750EB17" w14:textId="77777777" w:rsidR="002541AD" w:rsidRDefault="002541AD">
            <w:pPr>
              <w:rPr>
                <w:rFonts w:ascii="Times New Roman" w:hAnsi="Times New Roman"/>
                <w:sz w:val="20"/>
                <w:szCs w:val="20"/>
              </w:rPr>
            </w:pPr>
          </w:p>
        </w:tc>
        <w:tc>
          <w:tcPr>
            <w:tcW w:w="0" w:type="auto"/>
            <w:shd w:val="clear" w:color="auto" w:fill="auto"/>
            <w:vAlign w:val="center"/>
          </w:tcPr>
          <w:p w14:paraId="3750EB18" w14:textId="77777777" w:rsidR="002541AD" w:rsidRDefault="002541AD">
            <w:pPr>
              <w:rPr>
                <w:rFonts w:ascii="Times New Roman" w:hAnsi="Times New Roman"/>
                <w:sz w:val="20"/>
                <w:szCs w:val="20"/>
              </w:rPr>
            </w:pPr>
          </w:p>
        </w:tc>
      </w:tr>
      <w:tr w:rsidR="002541AD" w14:paraId="3750EB1C" w14:textId="77777777">
        <w:trPr>
          <w:tblCellSpacing w:w="0" w:type="dxa"/>
        </w:trPr>
        <w:tc>
          <w:tcPr>
            <w:tcW w:w="0" w:type="auto"/>
            <w:shd w:val="clear" w:color="auto" w:fill="auto"/>
          </w:tcPr>
          <w:p w14:paraId="3750EB1A"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0"/>
                <w:szCs w:val="10"/>
              </w:rPr>
              <w:t>2</w:t>
            </w:r>
            <w:r>
              <w:rPr>
                <w:rFonts w:ascii="Arial" w:eastAsia="宋体" w:hAnsi="Arial" w:cs="Arial"/>
                <w:i/>
                <w:iCs/>
                <w:color w:val="333333"/>
                <w:sz w:val="16"/>
                <w:szCs w:val="16"/>
              </w:rPr>
              <w:t> </w:t>
            </w:r>
          </w:p>
        </w:tc>
        <w:tc>
          <w:tcPr>
            <w:tcW w:w="0" w:type="auto"/>
            <w:shd w:val="clear" w:color="auto" w:fill="auto"/>
          </w:tcPr>
          <w:p w14:paraId="3750EB1B"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6"/>
                <w:szCs w:val="16"/>
              </w:rPr>
              <w:t>Derivative liabilities are recorded as other liabilities, current and non-current.</w:t>
            </w:r>
          </w:p>
        </w:tc>
      </w:tr>
    </w:tbl>
    <w:p w14:paraId="3750EB1D" w14:textId="77777777" w:rsidR="002541AD" w:rsidRDefault="002541AD">
      <w:pPr>
        <w:rPr>
          <w:vanish/>
        </w:rPr>
      </w:pPr>
    </w:p>
    <w:tbl>
      <w:tblPr>
        <w:tblW w:w="0" w:type="auto"/>
        <w:tblCellSpacing w:w="0" w:type="dxa"/>
        <w:tblCellMar>
          <w:left w:w="0" w:type="dxa"/>
          <w:right w:w="0" w:type="dxa"/>
        </w:tblCellMar>
        <w:tblLook w:val="04A0" w:firstRow="1" w:lastRow="0" w:firstColumn="1" w:lastColumn="0" w:noHBand="0" w:noVBand="1"/>
      </w:tblPr>
      <w:tblGrid>
        <w:gridCol w:w="720"/>
        <w:gridCol w:w="4198"/>
      </w:tblGrid>
      <w:tr w:rsidR="002541AD" w14:paraId="3750EB20" w14:textId="77777777">
        <w:trPr>
          <w:tblCellSpacing w:w="0" w:type="dxa"/>
        </w:trPr>
        <w:tc>
          <w:tcPr>
            <w:tcW w:w="720" w:type="dxa"/>
            <w:shd w:val="clear" w:color="auto" w:fill="auto"/>
            <w:vAlign w:val="center"/>
          </w:tcPr>
          <w:p w14:paraId="3750EB1E" w14:textId="77777777" w:rsidR="002541AD" w:rsidRDefault="002541AD">
            <w:pPr>
              <w:rPr>
                <w:rFonts w:ascii="Times New Roman" w:hAnsi="Times New Roman"/>
                <w:sz w:val="20"/>
                <w:szCs w:val="20"/>
              </w:rPr>
            </w:pPr>
          </w:p>
        </w:tc>
        <w:tc>
          <w:tcPr>
            <w:tcW w:w="0" w:type="auto"/>
            <w:shd w:val="clear" w:color="auto" w:fill="auto"/>
            <w:vAlign w:val="center"/>
          </w:tcPr>
          <w:p w14:paraId="3750EB1F" w14:textId="77777777" w:rsidR="002541AD" w:rsidRDefault="002541AD">
            <w:pPr>
              <w:rPr>
                <w:rFonts w:ascii="Times New Roman" w:hAnsi="Times New Roman"/>
                <w:sz w:val="20"/>
                <w:szCs w:val="20"/>
              </w:rPr>
            </w:pPr>
          </w:p>
        </w:tc>
      </w:tr>
      <w:tr w:rsidR="002541AD" w14:paraId="3750EB23" w14:textId="77777777">
        <w:trPr>
          <w:tblCellSpacing w:w="0" w:type="dxa"/>
        </w:trPr>
        <w:tc>
          <w:tcPr>
            <w:tcW w:w="0" w:type="auto"/>
            <w:shd w:val="clear" w:color="auto" w:fill="auto"/>
          </w:tcPr>
          <w:p w14:paraId="3750EB21"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0"/>
                <w:szCs w:val="10"/>
              </w:rPr>
              <w:t>3</w:t>
            </w:r>
            <w:r>
              <w:rPr>
                <w:rFonts w:ascii="Arial" w:eastAsia="宋体" w:hAnsi="Arial" w:cs="Arial"/>
                <w:i/>
                <w:iCs/>
                <w:color w:val="333333"/>
                <w:sz w:val="16"/>
                <w:szCs w:val="16"/>
              </w:rPr>
              <w:t> </w:t>
            </w:r>
          </w:p>
        </w:tc>
        <w:tc>
          <w:tcPr>
            <w:tcW w:w="0" w:type="auto"/>
            <w:shd w:val="clear" w:color="auto" w:fill="auto"/>
          </w:tcPr>
          <w:p w14:paraId="3750EB22"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6"/>
                <w:szCs w:val="16"/>
              </w:rPr>
              <w:t>The majority of these instruments mature within 12 months.</w:t>
            </w:r>
          </w:p>
        </w:tc>
      </w:tr>
    </w:tbl>
    <w:p w14:paraId="3750EB24" w14:textId="77777777" w:rsidR="002541AD" w:rsidRDefault="002541AD">
      <w:pPr>
        <w:spacing w:line="288" w:lineRule="auto"/>
        <w:rPr>
          <w:rFonts w:ascii="Times New Roman" w:hAnsi="Times New Roman"/>
          <w:sz w:val="18"/>
          <w:szCs w:val="18"/>
        </w:rPr>
      </w:pPr>
    </w:p>
    <w:p w14:paraId="3750EB25"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EB27" w14:textId="77777777">
        <w:tc>
          <w:tcPr>
            <w:tcW w:w="0" w:type="auto"/>
            <w:gridSpan w:val="3"/>
            <w:shd w:val="clear" w:color="auto" w:fill="auto"/>
            <w:vAlign w:val="center"/>
          </w:tcPr>
          <w:p w14:paraId="3750EB26" w14:textId="77777777" w:rsidR="002541AD" w:rsidRDefault="002541AD">
            <w:pPr>
              <w:rPr>
                <w:rFonts w:ascii="Times New Roman" w:hAnsi="Times New Roman"/>
                <w:sz w:val="20"/>
                <w:szCs w:val="20"/>
              </w:rPr>
            </w:pPr>
          </w:p>
        </w:tc>
      </w:tr>
      <w:tr w:rsidR="002541AD" w14:paraId="3750EB2B" w14:textId="77777777">
        <w:tc>
          <w:tcPr>
            <w:tcW w:w="1550" w:type="pct"/>
            <w:shd w:val="clear" w:color="auto" w:fill="auto"/>
            <w:vAlign w:val="center"/>
          </w:tcPr>
          <w:p w14:paraId="3750EB28" w14:textId="77777777" w:rsidR="002541AD" w:rsidRDefault="002541AD">
            <w:pPr>
              <w:rPr>
                <w:rFonts w:ascii="Times New Roman" w:hAnsi="Times New Roman"/>
                <w:sz w:val="20"/>
                <w:szCs w:val="20"/>
              </w:rPr>
            </w:pPr>
          </w:p>
        </w:tc>
        <w:tc>
          <w:tcPr>
            <w:tcW w:w="2200" w:type="pct"/>
            <w:shd w:val="clear" w:color="auto" w:fill="auto"/>
            <w:vAlign w:val="center"/>
          </w:tcPr>
          <w:p w14:paraId="3750EB29" w14:textId="77777777" w:rsidR="002541AD" w:rsidRDefault="002541AD">
            <w:pPr>
              <w:rPr>
                <w:rFonts w:ascii="Times New Roman" w:hAnsi="Times New Roman"/>
                <w:sz w:val="20"/>
                <w:szCs w:val="20"/>
              </w:rPr>
            </w:pPr>
          </w:p>
        </w:tc>
        <w:tc>
          <w:tcPr>
            <w:tcW w:w="1250" w:type="pct"/>
            <w:shd w:val="clear" w:color="auto" w:fill="auto"/>
            <w:vAlign w:val="center"/>
          </w:tcPr>
          <w:p w14:paraId="3750EB2A" w14:textId="77777777" w:rsidR="002541AD" w:rsidRDefault="002541AD">
            <w:pPr>
              <w:rPr>
                <w:rFonts w:ascii="Times New Roman" w:hAnsi="Times New Roman"/>
                <w:sz w:val="20"/>
                <w:szCs w:val="20"/>
              </w:rPr>
            </w:pPr>
          </w:p>
        </w:tc>
      </w:tr>
      <w:tr w:rsidR="002541AD" w14:paraId="3750EB2F" w14:textId="77777777">
        <w:tc>
          <w:tcPr>
            <w:tcW w:w="0" w:type="auto"/>
            <w:tcBorders>
              <w:top w:val="single" w:sz="8" w:space="0" w:color="0071C5"/>
              <w:right w:val="single" w:sz="24" w:space="0" w:color="0071C5"/>
            </w:tcBorders>
            <w:shd w:val="clear" w:color="auto" w:fill="auto"/>
            <w:tcMar>
              <w:top w:w="40" w:type="dxa"/>
              <w:left w:w="40" w:type="dxa"/>
              <w:bottom w:w="40" w:type="dxa"/>
              <w:right w:w="40" w:type="dxa"/>
            </w:tcMar>
            <w:vAlign w:val="center"/>
          </w:tcPr>
          <w:p w14:paraId="3750EB2C"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7D" wp14:editId="3750F87E">
                  <wp:extent cx="304800" cy="304800"/>
                  <wp:effectExtent l="0" t="0" r="0" b="0"/>
                  <wp:docPr id="97" name="图片 81"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1"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B2D"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B2E"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21</w:t>
            </w:r>
          </w:p>
        </w:tc>
      </w:tr>
    </w:tbl>
    <w:p w14:paraId="3750EB30" w14:textId="77777777" w:rsidR="002541AD" w:rsidRDefault="002541AD">
      <w:pPr>
        <w:spacing w:line="288" w:lineRule="auto"/>
        <w:rPr>
          <w:rFonts w:ascii="Times New Roman" w:hAnsi="Times New Roman"/>
          <w:sz w:val="18"/>
          <w:szCs w:val="18"/>
        </w:rPr>
      </w:pPr>
    </w:p>
    <w:p w14:paraId="3750EB31" w14:textId="77777777" w:rsidR="002541AD" w:rsidRDefault="002541AD">
      <w:pPr>
        <w:spacing w:line="288" w:lineRule="auto"/>
        <w:rPr>
          <w:rFonts w:ascii="Times New Roman" w:hAnsi="Times New Roman"/>
          <w:sz w:val="18"/>
          <w:szCs w:val="18"/>
        </w:rPr>
      </w:pPr>
    </w:p>
    <w:p w14:paraId="3750EB32" w14:textId="77777777" w:rsidR="002541AD" w:rsidRDefault="00901AA6">
      <w:r>
        <w:rPr>
          <w:rFonts w:ascii="Times New Roman" w:hAnsi="Times New Roman"/>
          <w:sz w:val="18"/>
          <w:szCs w:val="18"/>
        </w:rPr>
        <w:pict w14:anchorId="3750F87F">
          <v:rect id="_x0000_i1047" style="width:415.3pt;height:1.5pt" o:hralign="center" o:hrstd="t" o:hr="t" fillcolor="#a0a0a0" stroked="f"/>
        </w:pict>
      </w:r>
    </w:p>
    <w:p w14:paraId="3750EB33" w14:textId="77777777" w:rsidR="002541AD" w:rsidRDefault="00901AA6">
      <w:pPr>
        <w:spacing w:line="288" w:lineRule="auto"/>
        <w:jc w:val="right"/>
        <w:rPr>
          <w:rFonts w:ascii="Times New Roman" w:hAnsi="Times New Roman"/>
          <w:sz w:val="16"/>
          <w:szCs w:val="16"/>
        </w:rPr>
      </w:pPr>
      <w:hyperlink r:id="rId50" w:anchor="s2CABEAF4222C52B4A34547BF538A8C27" w:history="1">
        <w:r>
          <w:rPr>
            <w:rStyle w:val="a5"/>
            <w:rFonts w:ascii="Arial" w:eastAsia="宋体" w:hAnsi="Arial" w:cs="Arial"/>
            <w:b/>
            <w:bCs/>
            <w:sz w:val="16"/>
            <w:szCs w:val="16"/>
          </w:rPr>
          <w:t>Table of Contents</w:t>
        </w:r>
      </w:hyperlink>
    </w:p>
    <w:p w14:paraId="3750EB34" w14:textId="77777777" w:rsidR="002541AD" w:rsidRDefault="002541AD">
      <w:pPr>
        <w:spacing w:line="288" w:lineRule="auto"/>
        <w:jc w:val="right"/>
        <w:rPr>
          <w:rFonts w:ascii="Times New Roman" w:hAnsi="Times New Roman"/>
          <w:sz w:val="18"/>
          <w:szCs w:val="18"/>
        </w:rPr>
      </w:pPr>
    </w:p>
    <w:p w14:paraId="3750EB35" w14:textId="77777777" w:rsidR="002541AD" w:rsidRDefault="002541AD">
      <w:pPr>
        <w:rPr>
          <w:rFonts w:ascii="Times New Roman" w:hAnsi="Times New Roman"/>
          <w:sz w:val="20"/>
          <w:szCs w:val="20"/>
        </w:rPr>
      </w:pPr>
    </w:p>
    <w:p w14:paraId="3750EB36" w14:textId="77777777" w:rsidR="002541AD" w:rsidRDefault="00901AA6">
      <w:pPr>
        <w:spacing w:line="288" w:lineRule="auto"/>
        <w:rPr>
          <w:rFonts w:ascii="Times New Roman" w:hAnsi="Times New Roman"/>
        </w:rPr>
      </w:pPr>
      <w:r>
        <w:rPr>
          <w:rFonts w:ascii="Arial" w:eastAsia="宋体" w:hAnsi="Arial" w:cs="Arial"/>
          <w:b/>
          <w:bCs/>
          <w:color w:val="0071C5"/>
        </w:rPr>
        <w:t>AMOUNTS OFFSET IN THE CONSOLIDATED CONDENSED BALANCE SHEETS</w:t>
      </w:r>
    </w:p>
    <w:p w14:paraId="3750EB37"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The gross amount</w:t>
      </w:r>
      <w:r>
        <w:rPr>
          <w:rFonts w:ascii="Arial" w:eastAsia="宋体" w:hAnsi="Arial" w:cs="Arial"/>
          <w:color w:val="333333"/>
          <w:sz w:val="18"/>
          <w:szCs w:val="18"/>
        </w:rPr>
        <w:t>s of our derivative instruments and reverse repurchase agreements subject to master netting arrangements with various counterparties, and cash and non-cash collateral posted under such agreements at the end of each period were as follows:</w:t>
      </w:r>
    </w:p>
    <w:tbl>
      <w:tblPr>
        <w:tblW w:w="5000" w:type="pct"/>
        <w:tblCellMar>
          <w:left w:w="0" w:type="dxa"/>
          <w:right w:w="0" w:type="dxa"/>
        </w:tblCellMar>
        <w:tblLook w:val="04A0" w:firstRow="1" w:lastRow="0" w:firstColumn="1" w:lastColumn="0" w:noHBand="0" w:noVBand="1"/>
      </w:tblPr>
      <w:tblGrid>
        <w:gridCol w:w="1477"/>
        <w:gridCol w:w="130"/>
        <w:gridCol w:w="142"/>
        <w:gridCol w:w="892"/>
        <w:gridCol w:w="99"/>
        <w:gridCol w:w="130"/>
        <w:gridCol w:w="142"/>
        <w:gridCol w:w="703"/>
        <w:gridCol w:w="78"/>
        <w:gridCol w:w="130"/>
        <w:gridCol w:w="142"/>
        <w:gridCol w:w="778"/>
        <w:gridCol w:w="86"/>
        <w:gridCol w:w="130"/>
        <w:gridCol w:w="141"/>
        <w:gridCol w:w="909"/>
        <w:gridCol w:w="101"/>
        <w:gridCol w:w="130"/>
        <w:gridCol w:w="142"/>
        <w:gridCol w:w="761"/>
        <w:gridCol w:w="101"/>
        <w:gridCol w:w="130"/>
        <w:gridCol w:w="142"/>
        <w:gridCol w:w="621"/>
        <w:gridCol w:w="69"/>
      </w:tblGrid>
      <w:tr w:rsidR="002541AD" w14:paraId="3750EB39" w14:textId="77777777">
        <w:tc>
          <w:tcPr>
            <w:tcW w:w="0" w:type="auto"/>
            <w:gridSpan w:val="25"/>
            <w:shd w:val="clear" w:color="auto" w:fill="auto"/>
            <w:vAlign w:val="center"/>
          </w:tcPr>
          <w:p w14:paraId="3750EB38" w14:textId="77777777" w:rsidR="002541AD" w:rsidRDefault="002541AD">
            <w:pPr>
              <w:rPr>
                <w:rFonts w:ascii="Times New Roman" w:hAnsi="Times New Roman"/>
                <w:sz w:val="20"/>
                <w:szCs w:val="20"/>
              </w:rPr>
            </w:pPr>
          </w:p>
        </w:tc>
      </w:tr>
      <w:tr w:rsidR="002541AD" w14:paraId="3750EB53" w14:textId="77777777">
        <w:tc>
          <w:tcPr>
            <w:tcW w:w="1400" w:type="pct"/>
            <w:shd w:val="clear" w:color="auto" w:fill="auto"/>
            <w:vAlign w:val="center"/>
          </w:tcPr>
          <w:p w14:paraId="3750EB3A" w14:textId="77777777" w:rsidR="002541AD" w:rsidRDefault="002541AD">
            <w:pPr>
              <w:rPr>
                <w:rFonts w:ascii="Times New Roman" w:hAnsi="Times New Roman"/>
                <w:sz w:val="20"/>
                <w:szCs w:val="20"/>
              </w:rPr>
            </w:pPr>
          </w:p>
        </w:tc>
        <w:tc>
          <w:tcPr>
            <w:tcW w:w="50" w:type="pct"/>
            <w:shd w:val="clear" w:color="auto" w:fill="auto"/>
            <w:vAlign w:val="center"/>
          </w:tcPr>
          <w:p w14:paraId="3750EB3B" w14:textId="77777777" w:rsidR="002541AD" w:rsidRDefault="002541AD">
            <w:pPr>
              <w:rPr>
                <w:rFonts w:ascii="Times New Roman" w:hAnsi="Times New Roman"/>
                <w:sz w:val="20"/>
                <w:szCs w:val="20"/>
              </w:rPr>
            </w:pPr>
          </w:p>
        </w:tc>
        <w:tc>
          <w:tcPr>
            <w:tcW w:w="50" w:type="pct"/>
            <w:shd w:val="clear" w:color="auto" w:fill="auto"/>
            <w:vAlign w:val="center"/>
          </w:tcPr>
          <w:p w14:paraId="3750EB3C" w14:textId="77777777" w:rsidR="002541AD" w:rsidRDefault="002541AD">
            <w:pPr>
              <w:rPr>
                <w:rFonts w:ascii="Times New Roman" w:hAnsi="Times New Roman"/>
                <w:sz w:val="20"/>
                <w:szCs w:val="20"/>
              </w:rPr>
            </w:pPr>
          </w:p>
        </w:tc>
        <w:tc>
          <w:tcPr>
            <w:tcW w:w="450" w:type="pct"/>
            <w:shd w:val="clear" w:color="auto" w:fill="auto"/>
            <w:vAlign w:val="center"/>
          </w:tcPr>
          <w:p w14:paraId="3750EB3D" w14:textId="77777777" w:rsidR="002541AD" w:rsidRDefault="002541AD">
            <w:pPr>
              <w:rPr>
                <w:rFonts w:ascii="Times New Roman" w:hAnsi="Times New Roman"/>
                <w:sz w:val="20"/>
                <w:szCs w:val="20"/>
              </w:rPr>
            </w:pPr>
          </w:p>
        </w:tc>
        <w:tc>
          <w:tcPr>
            <w:tcW w:w="50" w:type="pct"/>
            <w:shd w:val="clear" w:color="auto" w:fill="auto"/>
            <w:vAlign w:val="center"/>
          </w:tcPr>
          <w:p w14:paraId="3750EB3E" w14:textId="77777777" w:rsidR="002541AD" w:rsidRDefault="002541AD">
            <w:pPr>
              <w:rPr>
                <w:rFonts w:ascii="Times New Roman" w:hAnsi="Times New Roman"/>
                <w:sz w:val="20"/>
                <w:szCs w:val="20"/>
              </w:rPr>
            </w:pPr>
          </w:p>
        </w:tc>
        <w:tc>
          <w:tcPr>
            <w:tcW w:w="50" w:type="pct"/>
            <w:shd w:val="clear" w:color="auto" w:fill="auto"/>
            <w:vAlign w:val="center"/>
          </w:tcPr>
          <w:p w14:paraId="3750EB3F" w14:textId="77777777" w:rsidR="002541AD" w:rsidRDefault="002541AD">
            <w:pPr>
              <w:rPr>
                <w:rFonts w:ascii="Times New Roman" w:hAnsi="Times New Roman"/>
                <w:sz w:val="20"/>
                <w:szCs w:val="20"/>
              </w:rPr>
            </w:pPr>
          </w:p>
        </w:tc>
        <w:tc>
          <w:tcPr>
            <w:tcW w:w="50" w:type="pct"/>
            <w:shd w:val="clear" w:color="auto" w:fill="auto"/>
            <w:vAlign w:val="center"/>
          </w:tcPr>
          <w:p w14:paraId="3750EB40" w14:textId="77777777" w:rsidR="002541AD" w:rsidRDefault="002541AD">
            <w:pPr>
              <w:rPr>
                <w:rFonts w:ascii="Times New Roman" w:hAnsi="Times New Roman"/>
                <w:sz w:val="20"/>
                <w:szCs w:val="20"/>
              </w:rPr>
            </w:pPr>
          </w:p>
        </w:tc>
        <w:tc>
          <w:tcPr>
            <w:tcW w:w="450" w:type="pct"/>
            <w:shd w:val="clear" w:color="auto" w:fill="auto"/>
            <w:vAlign w:val="center"/>
          </w:tcPr>
          <w:p w14:paraId="3750EB41" w14:textId="77777777" w:rsidR="002541AD" w:rsidRDefault="002541AD">
            <w:pPr>
              <w:rPr>
                <w:rFonts w:ascii="Times New Roman" w:hAnsi="Times New Roman"/>
                <w:sz w:val="20"/>
                <w:szCs w:val="20"/>
              </w:rPr>
            </w:pPr>
          </w:p>
        </w:tc>
        <w:tc>
          <w:tcPr>
            <w:tcW w:w="50" w:type="pct"/>
            <w:shd w:val="clear" w:color="auto" w:fill="auto"/>
            <w:vAlign w:val="center"/>
          </w:tcPr>
          <w:p w14:paraId="3750EB42" w14:textId="77777777" w:rsidR="002541AD" w:rsidRDefault="002541AD">
            <w:pPr>
              <w:rPr>
                <w:rFonts w:ascii="Times New Roman" w:hAnsi="Times New Roman"/>
                <w:sz w:val="20"/>
                <w:szCs w:val="20"/>
              </w:rPr>
            </w:pPr>
          </w:p>
        </w:tc>
        <w:tc>
          <w:tcPr>
            <w:tcW w:w="50" w:type="pct"/>
            <w:shd w:val="clear" w:color="auto" w:fill="auto"/>
            <w:vAlign w:val="center"/>
          </w:tcPr>
          <w:p w14:paraId="3750EB43" w14:textId="77777777" w:rsidR="002541AD" w:rsidRDefault="002541AD">
            <w:pPr>
              <w:rPr>
                <w:rFonts w:ascii="Times New Roman" w:hAnsi="Times New Roman"/>
                <w:sz w:val="20"/>
                <w:szCs w:val="20"/>
              </w:rPr>
            </w:pPr>
          </w:p>
        </w:tc>
        <w:tc>
          <w:tcPr>
            <w:tcW w:w="50" w:type="pct"/>
            <w:shd w:val="clear" w:color="auto" w:fill="auto"/>
            <w:vAlign w:val="center"/>
          </w:tcPr>
          <w:p w14:paraId="3750EB44" w14:textId="77777777" w:rsidR="002541AD" w:rsidRDefault="002541AD">
            <w:pPr>
              <w:rPr>
                <w:rFonts w:ascii="Times New Roman" w:hAnsi="Times New Roman"/>
                <w:sz w:val="20"/>
                <w:szCs w:val="20"/>
              </w:rPr>
            </w:pPr>
          </w:p>
        </w:tc>
        <w:tc>
          <w:tcPr>
            <w:tcW w:w="450" w:type="pct"/>
            <w:shd w:val="clear" w:color="auto" w:fill="auto"/>
            <w:vAlign w:val="center"/>
          </w:tcPr>
          <w:p w14:paraId="3750EB45" w14:textId="77777777" w:rsidR="002541AD" w:rsidRDefault="002541AD">
            <w:pPr>
              <w:rPr>
                <w:rFonts w:ascii="Times New Roman" w:hAnsi="Times New Roman"/>
                <w:sz w:val="20"/>
                <w:szCs w:val="20"/>
              </w:rPr>
            </w:pPr>
          </w:p>
        </w:tc>
        <w:tc>
          <w:tcPr>
            <w:tcW w:w="50" w:type="pct"/>
            <w:shd w:val="clear" w:color="auto" w:fill="auto"/>
            <w:vAlign w:val="center"/>
          </w:tcPr>
          <w:p w14:paraId="3750EB46" w14:textId="77777777" w:rsidR="002541AD" w:rsidRDefault="002541AD">
            <w:pPr>
              <w:rPr>
                <w:rFonts w:ascii="Times New Roman" w:hAnsi="Times New Roman"/>
                <w:sz w:val="20"/>
                <w:szCs w:val="20"/>
              </w:rPr>
            </w:pPr>
          </w:p>
        </w:tc>
        <w:tc>
          <w:tcPr>
            <w:tcW w:w="50" w:type="pct"/>
            <w:shd w:val="clear" w:color="auto" w:fill="auto"/>
            <w:vAlign w:val="center"/>
          </w:tcPr>
          <w:p w14:paraId="3750EB47" w14:textId="77777777" w:rsidR="002541AD" w:rsidRDefault="002541AD">
            <w:pPr>
              <w:rPr>
                <w:rFonts w:ascii="Times New Roman" w:hAnsi="Times New Roman"/>
                <w:sz w:val="20"/>
                <w:szCs w:val="20"/>
              </w:rPr>
            </w:pPr>
          </w:p>
        </w:tc>
        <w:tc>
          <w:tcPr>
            <w:tcW w:w="50" w:type="pct"/>
            <w:shd w:val="clear" w:color="auto" w:fill="auto"/>
            <w:vAlign w:val="center"/>
          </w:tcPr>
          <w:p w14:paraId="3750EB48" w14:textId="77777777" w:rsidR="002541AD" w:rsidRDefault="002541AD">
            <w:pPr>
              <w:rPr>
                <w:rFonts w:ascii="Times New Roman" w:hAnsi="Times New Roman"/>
                <w:sz w:val="20"/>
                <w:szCs w:val="20"/>
              </w:rPr>
            </w:pPr>
          </w:p>
        </w:tc>
        <w:tc>
          <w:tcPr>
            <w:tcW w:w="450" w:type="pct"/>
            <w:shd w:val="clear" w:color="auto" w:fill="auto"/>
            <w:vAlign w:val="center"/>
          </w:tcPr>
          <w:p w14:paraId="3750EB49" w14:textId="77777777" w:rsidR="002541AD" w:rsidRDefault="002541AD">
            <w:pPr>
              <w:rPr>
                <w:rFonts w:ascii="Times New Roman" w:hAnsi="Times New Roman"/>
                <w:sz w:val="20"/>
                <w:szCs w:val="20"/>
              </w:rPr>
            </w:pPr>
          </w:p>
        </w:tc>
        <w:tc>
          <w:tcPr>
            <w:tcW w:w="50" w:type="pct"/>
            <w:shd w:val="clear" w:color="auto" w:fill="auto"/>
            <w:vAlign w:val="center"/>
          </w:tcPr>
          <w:p w14:paraId="3750EB4A" w14:textId="77777777" w:rsidR="002541AD" w:rsidRDefault="002541AD">
            <w:pPr>
              <w:rPr>
                <w:rFonts w:ascii="Times New Roman" w:hAnsi="Times New Roman"/>
                <w:sz w:val="20"/>
                <w:szCs w:val="20"/>
              </w:rPr>
            </w:pPr>
          </w:p>
        </w:tc>
        <w:tc>
          <w:tcPr>
            <w:tcW w:w="50" w:type="pct"/>
            <w:shd w:val="clear" w:color="auto" w:fill="auto"/>
            <w:vAlign w:val="center"/>
          </w:tcPr>
          <w:p w14:paraId="3750EB4B" w14:textId="77777777" w:rsidR="002541AD" w:rsidRDefault="002541AD">
            <w:pPr>
              <w:rPr>
                <w:rFonts w:ascii="Times New Roman" w:hAnsi="Times New Roman"/>
                <w:sz w:val="20"/>
                <w:szCs w:val="20"/>
              </w:rPr>
            </w:pPr>
          </w:p>
        </w:tc>
        <w:tc>
          <w:tcPr>
            <w:tcW w:w="50" w:type="pct"/>
            <w:shd w:val="clear" w:color="auto" w:fill="auto"/>
            <w:vAlign w:val="center"/>
          </w:tcPr>
          <w:p w14:paraId="3750EB4C" w14:textId="77777777" w:rsidR="002541AD" w:rsidRDefault="002541AD">
            <w:pPr>
              <w:rPr>
                <w:rFonts w:ascii="Times New Roman" w:hAnsi="Times New Roman"/>
                <w:sz w:val="20"/>
                <w:szCs w:val="20"/>
              </w:rPr>
            </w:pPr>
          </w:p>
        </w:tc>
        <w:tc>
          <w:tcPr>
            <w:tcW w:w="450" w:type="pct"/>
            <w:shd w:val="clear" w:color="auto" w:fill="auto"/>
            <w:vAlign w:val="center"/>
          </w:tcPr>
          <w:p w14:paraId="3750EB4D" w14:textId="77777777" w:rsidR="002541AD" w:rsidRDefault="002541AD">
            <w:pPr>
              <w:rPr>
                <w:rFonts w:ascii="Times New Roman" w:hAnsi="Times New Roman"/>
                <w:sz w:val="20"/>
                <w:szCs w:val="20"/>
              </w:rPr>
            </w:pPr>
          </w:p>
        </w:tc>
        <w:tc>
          <w:tcPr>
            <w:tcW w:w="50" w:type="pct"/>
            <w:shd w:val="clear" w:color="auto" w:fill="auto"/>
            <w:vAlign w:val="center"/>
          </w:tcPr>
          <w:p w14:paraId="3750EB4E" w14:textId="77777777" w:rsidR="002541AD" w:rsidRDefault="002541AD">
            <w:pPr>
              <w:rPr>
                <w:rFonts w:ascii="Times New Roman" w:hAnsi="Times New Roman"/>
                <w:sz w:val="20"/>
                <w:szCs w:val="20"/>
              </w:rPr>
            </w:pPr>
          </w:p>
        </w:tc>
        <w:tc>
          <w:tcPr>
            <w:tcW w:w="50" w:type="pct"/>
            <w:shd w:val="clear" w:color="auto" w:fill="auto"/>
            <w:vAlign w:val="center"/>
          </w:tcPr>
          <w:p w14:paraId="3750EB4F" w14:textId="77777777" w:rsidR="002541AD" w:rsidRDefault="002541AD">
            <w:pPr>
              <w:rPr>
                <w:rFonts w:ascii="Times New Roman" w:hAnsi="Times New Roman"/>
                <w:sz w:val="20"/>
                <w:szCs w:val="20"/>
              </w:rPr>
            </w:pPr>
          </w:p>
        </w:tc>
        <w:tc>
          <w:tcPr>
            <w:tcW w:w="50" w:type="pct"/>
            <w:shd w:val="clear" w:color="auto" w:fill="auto"/>
            <w:vAlign w:val="center"/>
          </w:tcPr>
          <w:p w14:paraId="3750EB50" w14:textId="77777777" w:rsidR="002541AD" w:rsidRDefault="002541AD">
            <w:pPr>
              <w:rPr>
                <w:rFonts w:ascii="Times New Roman" w:hAnsi="Times New Roman"/>
                <w:sz w:val="20"/>
                <w:szCs w:val="20"/>
              </w:rPr>
            </w:pPr>
          </w:p>
        </w:tc>
        <w:tc>
          <w:tcPr>
            <w:tcW w:w="450" w:type="pct"/>
            <w:shd w:val="clear" w:color="auto" w:fill="auto"/>
            <w:vAlign w:val="center"/>
          </w:tcPr>
          <w:p w14:paraId="3750EB51" w14:textId="77777777" w:rsidR="002541AD" w:rsidRDefault="002541AD">
            <w:pPr>
              <w:rPr>
                <w:rFonts w:ascii="Times New Roman" w:hAnsi="Times New Roman"/>
                <w:sz w:val="20"/>
                <w:szCs w:val="20"/>
              </w:rPr>
            </w:pPr>
          </w:p>
        </w:tc>
        <w:tc>
          <w:tcPr>
            <w:tcW w:w="50" w:type="pct"/>
            <w:shd w:val="clear" w:color="auto" w:fill="auto"/>
            <w:vAlign w:val="center"/>
          </w:tcPr>
          <w:p w14:paraId="3750EB52" w14:textId="77777777" w:rsidR="002541AD" w:rsidRDefault="002541AD">
            <w:pPr>
              <w:rPr>
                <w:rFonts w:ascii="Times New Roman" w:hAnsi="Times New Roman"/>
                <w:sz w:val="20"/>
                <w:szCs w:val="20"/>
              </w:rPr>
            </w:pPr>
          </w:p>
        </w:tc>
      </w:tr>
      <w:tr w:rsidR="002541AD" w14:paraId="3750EB57" w14:textId="77777777">
        <w:tc>
          <w:tcPr>
            <w:tcW w:w="0" w:type="auto"/>
            <w:shd w:val="clear" w:color="auto" w:fill="auto"/>
            <w:tcMar>
              <w:top w:w="40" w:type="dxa"/>
              <w:left w:w="40" w:type="dxa"/>
              <w:bottom w:w="40" w:type="dxa"/>
              <w:right w:w="40" w:type="dxa"/>
            </w:tcMar>
            <w:vAlign w:val="bottom"/>
          </w:tcPr>
          <w:p w14:paraId="3750EB5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B5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71C5"/>
            </w:tcBorders>
            <w:shd w:val="clear" w:color="auto" w:fill="auto"/>
            <w:tcMar>
              <w:top w:w="40" w:type="dxa"/>
              <w:left w:w="40" w:type="dxa"/>
              <w:bottom w:w="40" w:type="dxa"/>
            </w:tcMar>
            <w:vAlign w:val="bottom"/>
          </w:tcPr>
          <w:p w14:paraId="3750EB56"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March 28, 2020</w:t>
            </w:r>
          </w:p>
        </w:tc>
      </w:tr>
      <w:tr w:rsidR="002541AD" w14:paraId="3750EB63" w14:textId="77777777">
        <w:tc>
          <w:tcPr>
            <w:tcW w:w="0" w:type="auto"/>
            <w:shd w:val="clear" w:color="auto" w:fill="auto"/>
            <w:tcMar>
              <w:top w:w="40" w:type="dxa"/>
              <w:left w:w="40" w:type="dxa"/>
              <w:bottom w:w="40" w:type="dxa"/>
              <w:right w:w="40" w:type="dxa"/>
            </w:tcMar>
            <w:vAlign w:val="bottom"/>
          </w:tcPr>
          <w:p w14:paraId="3750EB5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B5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B5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B5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B5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B5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B5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B5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3750EB60"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Gross Amounts Not Offset in the Balance Sheet</w:t>
            </w:r>
          </w:p>
        </w:tc>
        <w:tc>
          <w:tcPr>
            <w:tcW w:w="0" w:type="auto"/>
            <w:shd w:val="clear" w:color="auto" w:fill="auto"/>
            <w:tcMar>
              <w:top w:w="40" w:type="dxa"/>
              <w:left w:w="40" w:type="dxa"/>
              <w:bottom w:w="40" w:type="dxa"/>
              <w:right w:w="40" w:type="dxa"/>
            </w:tcMar>
            <w:vAlign w:val="bottom"/>
          </w:tcPr>
          <w:p w14:paraId="3750EB6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B6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B71"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B64"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EB6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B66"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Gross Amounts Recognized</w:t>
            </w:r>
          </w:p>
        </w:tc>
        <w:tc>
          <w:tcPr>
            <w:tcW w:w="0" w:type="auto"/>
            <w:shd w:val="clear" w:color="auto" w:fill="auto"/>
            <w:tcMar>
              <w:top w:w="40" w:type="dxa"/>
              <w:left w:w="40" w:type="dxa"/>
              <w:bottom w:w="40" w:type="dxa"/>
              <w:right w:w="40" w:type="dxa"/>
            </w:tcMar>
            <w:vAlign w:val="bottom"/>
          </w:tcPr>
          <w:p w14:paraId="3750EB6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B68"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Gross Amounts Offset in the Balance Sheet</w:t>
            </w:r>
          </w:p>
        </w:tc>
        <w:tc>
          <w:tcPr>
            <w:tcW w:w="0" w:type="auto"/>
            <w:shd w:val="clear" w:color="auto" w:fill="auto"/>
            <w:tcMar>
              <w:top w:w="40" w:type="dxa"/>
              <w:left w:w="40" w:type="dxa"/>
              <w:bottom w:w="40" w:type="dxa"/>
              <w:right w:w="40" w:type="dxa"/>
            </w:tcMar>
            <w:vAlign w:val="bottom"/>
          </w:tcPr>
          <w:p w14:paraId="3750EB6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B6A"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Net Amounts Presented in the </w:t>
            </w:r>
            <w:r>
              <w:rPr>
                <w:rFonts w:ascii="Arial" w:eastAsia="宋体" w:hAnsi="Arial" w:cs="Arial"/>
                <w:b/>
                <w:bCs/>
                <w:color w:val="333333"/>
                <w:sz w:val="18"/>
                <w:szCs w:val="18"/>
              </w:rPr>
              <w:t>Balance Sheet</w:t>
            </w:r>
          </w:p>
        </w:tc>
        <w:tc>
          <w:tcPr>
            <w:tcW w:w="0" w:type="auto"/>
            <w:shd w:val="clear" w:color="auto" w:fill="auto"/>
            <w:tcMar>
              <w:top w:w="40" w:type="dxa"/>
              <w:left w:w="40" w:type="dxa"/>
              <w:bottom w:w="40" w:type="dxa"/>
              <w:right w:w="40" w:type="dxa"/>
            </w:tcMar>
            <w:vAlign w:val="bottom"/>
          </w:tcPr>
          <w:p w14:paraId="3750EB6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B6C"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Financial Instruments</w:t>
            </w:r>
          </w:p>
        </w:tc>
        <w:tc>
          <w:tcPr>
            <w:tcW w:w="0" w:type="auto"/>
            <w:shd w:val="clear" w:color="auto" w:fill="auto"/>
            <w:tcMar>
              <w:top w:w="40" w:type="dxa"/>
              <w:left w:w="40" w:type="dxa"/>
              <w:bottom w:w="40" w:type="dxa"/>
              <w:right w:w="40" w:type="dxa"/>
            </w:tcMar>
            <w:vAlign w:val="bottom"/>
          </w:tcPr>
          <w:p w14:paraId="3750EB6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B6E"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Cash and Non-Cash Collateral Received or Pledged</w:t>
            </w:r>
          </w:p>
        </w:tc>
        <w:tc>
          <w:tcPr>
            <w:tcW w:w="0" w:type="auto"/>
            <w:shd w:val="clear" w:color="auto" w:fill="auto"/>
            <w:tcMar>
              <w:top w:w="40" w:type="dxa"/>
              <w:left w:w="40" w:type="dxa"/>
              <w:bottom w:w="40" w:type="dxa"/>
              <w:right w:w="40" w:type="dxa"/>
            </w:tcMar>
            <w:vAlign w:val="bottom"/>
          </w:tcPr>
          <w:p w14:paraId="3750EB6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B70"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Net Amount</w:t>
            </w:r>
          </w:p>
        </w:tc>
      </w:tr>
      <w:tr w:rsidR="002541AD" w14:paraId="3750EB7F" w14:textId="77777777">
        <w:tc>
          <w:tcPr>
            <w:tcW w:w="0" w:type="auto"/>
            <w:shd w:val="clear" w:color="auto" w:fill="auto"/>
            <w:tcMar>
              <w:top w:w="40" w:type="dxa"/>
              <w:left w:w="40" w:type="dxa"/>
              <w:bottom w:w="40" w:type="dxa"/>
              <w:right w:w="40" w:type="dxa"/>
            </w:tcMar>
            <w:vAlign w:val="bottom"/>
          </w:tcPr>
          <w:p w14:paraId="3750EB72" w14:textId="77777777" w:rsidR="002541AD" w:rsidRDefault="00901AA6">
            <w:pPr>
              <w:ind w:hanging="240"/>
              <w:textAlignment w:val="bottom"/>
              <w:rPr>
                <w:rFonts w:ascii="Times New Roman" w:hAnsi="Times New Roman"/>
                <w:sz w:val="18"/>
                <w:szCs w:val="18"/>
              </w:rPr>
            </w:pPr>
            <w:r>
              <w:rPr>
                <w:rFonts w:ascii="Arial" w:eastAsia="宋体" w:hAnsi="Arial" w:cs="Arial"/>
                <w:color w:val="333333"/>
                <w:sz w:val="18"/>
                <w:szCs w:val="18"/>
              </w:rPr>
              <w:t>Assets:</w:t>
            </w:r>
          </w:p>
        </w:tc>
        <w:tc>
          <w:tcPr>
            <w:tcW w:w="0" w:type="auto"/>
            <w:shd w:val="clear" w:color="auto" w:fill="auto"/>
            <w:tcMar>
              <w:top w:w="40" w:type="dxa"/>
              <w:left w:w="40" w:type="dxa"/>
              <w:bottom w:w="40" w:type="dxa"/>
              <w:right w:w="40" w:type="dxa"/>
            </w:tcMar>
            <w:vAlign w:val="bottom"/>
          </w:tcPr>
          <w:p w14:paraId="3750EB7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B7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B7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B7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B7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B7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B7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B7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B7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B7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B7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B7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B99" w14:textId="77777777">
        <w:tc>
          <w:tcPr>
            <w:tcW w:w="0" w:type="auto"/>
            <w:shd w:val="clear" w:color="auto" w:fill="auto"/>
            <w:tcMar>
              <w:top w:w="40" w:type="dxa"/>
              <w:left w:w="240" w:type="dxa"/>
              <w:bottom w:w="40" w:type="dxa"/>
              <w:right w:w="40" w:type="dxa"/>
            </w:tcMar>
          </w:tcPr>
          <w:p w14:paraId="3750EB80"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Derivative assets subject to master netting arrangements</w:t>
            </w:r>
          </w:p>
        </w:tc>
        <w:tc>
          <w:tcPr>
            <w:tcW w:w="0" w:type="auto"/>
            <w:shd w:val="clear" w:color="auto" w:fill="auto"/>
            <w:tcMar>
              <w:top w:w="40" w:type="dxa"/>
              <w:left w:w="40" w:type="dxa"/>
              <w:bottom w:w="40" w:type="dxa"/>
              <w:right w:w="40" w:type="dxa"/>
            </w:tcMar>
            <w:vAlign w:val="bottom"/>
          </w:tcPr>
          <w:p w14:paraId="3750EB8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B82"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B8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2,005</w:t>
            </w:r>
          </w:p>
        </w:tc>
        <w:tc>
          <w:tcPr>
            <w:tcW w:w="0" w:type="auto"/>
            <w:shd w:val="clear" w:color="auto" w:fill="auto"/>
            <w:vAlign w:val="bottom"/>
          </w:tcPr>
          <w:p w14:paraId="3750EB8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B8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B86"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B8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B8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B8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B8A"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B8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2,005</w:t>
            </w:r>
          </w:p>
        </w:tc>
        <w:tc>
          <w:tcPr>
            <w:tcW w:w="0" w:type="auto"/>
            <w:shd w:val="clear" w:color="auto" w:fill="auto"/>
            <w:vAlign w:val="bottom"/>
          </w:tcPr>
          <w:p w14:paraId="3750EB8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B8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B8E"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B8F"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(457</w:t>
            </w:r>
          </w:p>
        </w:tc>
        <w:tc>
          <w:tcPr>
            <w:tcW w:w="0" w:type="auto"/>
            <w:shd w:val="clear" w:color="auto" w:fill="auto"/>
            <w:tcMar>
              <w:top w:w="40" w:type="dxa"/>
              <w:bottom w:w="40" w:type="dxa"/>
              <w:right w:w="40" w:type="dxa"/>
            </w:tcMar>
            <w:vAlign w:val="bottom"/>
          </w:tcPr>
          <w:p w14:paraId="3750EB90"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B9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B92"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B9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(1,513</w:t>
            </w:r>
          </w:p>
        </w:tc>
        <w:tc>
          <w:tcPr>
            <w:tcW w:w="0" w:type="auto"/>
            <w:shd w:val="clear" w:color="auto" w:fill="auto"/>
            <w:tcMar>
              <w:top w:w="40" w:type="dxa"/>
              <w:bottom w:w="40" w:type="dxa"/>
              <w:right w:w="40" w:type="dxa"/>
            </w:tcMar>
            <w:vAlign w:val="bottom"/>
          </w:tcPr>
          <w:p w14:paraId="3750EB94"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B9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B96"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B9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35</w:t>
            </w:r>
          </w:p>
        </w:tc>
        <w:tc>
          <w:tcPr>
            <w:tcW w:w="0" w:type="auto"/>
            <w:shd w:val="clear" w:color="auto" w:fill="auto"/>
            <w:vAlign w:val="bottom"/>
          </w:tcPr>
          <w:p w14:paraId="3750EB98" w14:textId="77777777" w:rsidR="002541AD" w:rsidRDefault="002541AD">
            <w:pPr>
              <w:textAlignment w:val="bottom"/>
              <w:rPr>
                <w:rFonts w:ascii="Times New Roman" w:hAnsi="Times New Roman"/>
                <w:sz w:val="20"/>
                <w:szCs w:val="20"/>
              </w:rPr>
            </w:pPr>
          </w:p>
        </w:tc>
      </w:tr>
      <w:tr w:rsidR="002541AD" w14:paraId="3750EBAD" w14:textId="77777777">
        <w:tc>
          <w:tcPr>
            <w:tcW w:w="0" w:type="auto"/>
            <w:shd w:val="clear" w:color="auto" w:fill="auto"/>
            <w:tcMar>
              <w:top w:w="40" w:type="dxa"/>
              <w:left w:w="240" w:type="dxa"/>
              <w:bottom w:w="40" w:type="dxa"/>
              <w:right w:w="40" w:type="dxa"/>
            </w:tcMar>
          </w:tcPr>
          <w:p w14:paraId="3750EB9A"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Reverse repurchase agreements</w:t>
            </w:r>
          </w:p>
        </w:tc>
        <w:tc>
          <w:tcPr>
            <w:tcW w:w="0" w:type="auto"/>
            <w:shd w:val="clear" w:color="auto" w:fill="auto"/>
            <w:tcMar>
              <w:top w:w="40" w:type="dxa"/>
              <w:left w:w="40" w:type="dxa"/>
              <w:bottom w:w="40" w:type="dxa"/>
              <w:right w:w="40" w:type="dxa"/>
            </w:tcMar>
            <w:vAlign w:val="bottom"/>
          </w:tcPr>
          <w:p w14:paraId="3750EB9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B9C"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1,500</w:t>
            </w:r>
          </w:p>
        </w:tc>
        <w:tc>
          <w:tcPr>
            <w:tcW w:w="0" w:type="auto"/>
            <w:shd w:val="clear" w:color="auto" w:fill="auto"/>
            <w:vAlign w:val="bottom"/>
          </w:tcPr>
          <w:p w14:paraId="3750EB9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B9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B9F"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BA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BA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EBA2"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1,500</w:t>
            </w:r>
          </w:p>
        </w:tc>
        <w:tc>
          <w:tcPr>
            <w:tcW w:w="0" w:type="auto"/>
            <w:tcBorders>
              <w:bottom w:val="single" w:sz="8" w:space="0" w:color="333333"/>
            </w:tcBorders>
            <w:shd w:val="clear" w:color="auto" w:fill="auto"/>
            <w:vAlign w:val="bottom"/>
          </w:tcPr>
          <w:p w14:paraId="3750EBA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BA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BA5"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BA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BA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BA8"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(1,418</w:t>
            </w:r>
          </w:p>
        </w:tc>
        <w:tc>
          <w:tcPr>
            <w:tcW w:w="0" w:type="auto"/>
            <w:shd w:val="clear" w:color="auto" w:fill="auto"/>
            <w:tcMar>
              <w:top w:w="40" w:type="dxa"/>
              <w:bottom w:w="40" w:type="dxa"/>
              <w:right w:w="40" w:type="dxa"/>
            </w:tcMar>
            <w:vAlign w:val="bottom"/>
          </w:tcPr>
          <w:p w14:paraId="3750EBA9"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BA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EBA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82</w:t>
            </w:r>
          </w:p>
        </w:tc>
        <w:tc>
          <w:tcPr>
            <w:tcW w:w="0" w:type="auto"/>
            <w:tcBorders>
              <w:bottom w:val="single" w:sz="8" w:space="0" w:color="333333"/>
            </w:tcBorders>
            <w:shd w:val="clear" w:color="auto" w:fill="auto"/>
            <w:vAlign w:val="bottom"/>
          </w:tcPr>
          <w:p w14:paraId="3750EBAC" w14:textId="77777777" w:rsidR="002541AD" w:rsidRDefault="002541AD">
            <w:pPr>
              <w:textAlignment w:val="bottom"/>
              <w:rPr>
                <w:rFonts w:ascii="Times New Roman" w:hAnsi="Times New Roman"/>
                <w:sz w:val="20"/>
                <w:szCs w:val="20"/>
              </w:rPr>
            </w:pPr>
          </w:p>
        </w:tc>
      </w:tr>
      <w:tr w:rsidR="002541AD" w14:paraId="3750EBC7" w14:textId="77777777">
        <w:tc>
          <w:tcPr>
            <w:tcW w:w="0" w:type="auto"/>
            <w:shd w:val="clear" w:color="auto" w:fill="auto"/>
            <w:tcMar>
              <w:top w:w="40" w:type="dxa"/>
              <w:left w:w="40" w:type="dxa"/>
              <w:bottom w:w="40" w:type="dxa"/>
              <w:right w:w="40" w:type="dxa"/>
            </w:tcMar>
            <w:vAlign w:val="bottom"/>
          </w:tcPr>
          <w:p w14:paraId="3750EBAE"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Total assets</w:t>
            </w:r>
          </w:p>
        </w:tc>
        <w:tc>
          <w:tcPr>
            <w:tcW w:w="0" w:type="auto"/>
            <w:shd w:val="clear" w:color="auto" w:fill="auto"/>
            <w:tcMar>
              <w:top w:w="40" w:type="dxa"/>
              <w:left w:w="40" w:type="dxa"/>
              <w:bottom w:w="40" w:type="dxa"/>
              <w:right w:w="40" w:type="dxa"/>
            </w:tcMar>
            <w:vAlign w:val="bottom"/>
          </w:tcPr>
          <w:p w14:paraId="3750EBA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BB0"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BB1"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3,505</w:t>
            </w:r>
          </w:p>
        </w:tc>
        <w:tc>
          <w:tcPr>
            <w:tcW w:w="0" w:type="auto"/>
            <w:tcBorders>
              <w:top w:val="single" w:sz="8" w:space="0" w:color="333333"/>
              <w:bottom w:val="double" w:sz="6" w:space="0" w:color="333333"/>
            </w:tcBorders>
            <w:shd w:val="clear" w:color="auto" w:fill="auto"/>
            <w:vAlign w:val="bottom"/>
          </w:tcPr>
          <w:p w14:paraId="3750EBB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BB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BB4"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BB5"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vAlign w:val="bottom"/>
          </w:tcPr>
          <w:p w14:paraId="3750EBB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BB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BB8"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BB9"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3,505</w:t>
            </w:r>
          </w:p>
        </w:tc>
        <w:tc>
          <w:tcPr>
            <w:tcW w:w="0" w:type="auto"/>
            <w:tcBorders>
              <w:top w:val="single" w:sz="8" w:space="0" w:color="333333"/>
              <w:bottom w:val="double" w:sz="6" w:space="0" w:color="333333"/>
            </w:tcBorders>
            <w:shd w:val="clear" w:color="auto" w:fill="auto"/>
            <w:vAlign w:val="bottom"/>
          </w:tcPr>
          <w:p w14:paraId="3750EBB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BB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BBC"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BBD"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(457</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EBBE"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3750EBB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BC0"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BC1"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(2,931</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EBC2"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3750EBC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BC4"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BC5"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117</w:t>
            </w:r>
          </w:p>
        </w:tc>
        <w:tc>
          <w:tcPr>
            <w:tcW w:w="0" w:type="auto"/>
            <w:tcBorders>
              <w:top w:val="single" w:sz="8" w:space="0" w:color="333333"/>
              <w:bottom w:val="double" w:sz="6" w:space="0" w:color="333333"/>
            </w:tcBorders>
            <w:shd w:val="clear" w:color="auto" w:fill="auto"/>
            <w:vAlign w:val="bottom"/>
          </w:tcPr>
          <w:p w14:paraId="3750EBC6" w14:textId="77777777" w:rsidR="002541AD" w:rsidRDefault="002541AD">
            <w:pPr>
              <w:textAlignment w:val="bottom"/>
              <w:rPr>
                <w:rFonts w:ascii="Times New Roman" w:hAnsi="Times New Roman"/>
                <w:sz w:val="20"/>
                <w:szCs w:val="20"/>
              </w:rPr>
            </w:pPr>
          </w:p>
        </w:tc>
      </w:tr>
      <w:tr w:rsidR="002541AD" w14:paraId="3750EBD5" w14:textId="77777777">
        <w:tc>
          <w:tcPr>
            <w:tcW w:w="0" w:type="auto"/>
            <w:shd w:val="clear" w:color="auto" w:fill="auto"/>
            <w:tcMar>
              <w:top w:w="40" w:type="dxa"/>
              <w:left w:w="40" w:type="dxa"/>
              <w:bottom w:w="40" w:type="dxa"/>
              <w:right w:w="40" w:type="dxa"/>
            </w:tcMar>
            <w:vAlign w:val="bottom"/>
          </w:tcPr>
          <w:p w14:paraId="3750EBC8" w14:textId="77777777" w:rsidR="002541AD" w:rsidRDefault="00901AA6">
            <w:pPr>
              <w:ind w:hanging="240"/>
              <w:textAlignment w:val="bottom"/>
              <w:rPr>
                <w:rFonts w:ascii="Times New Roman" w:hAnsi="Times New Roman"/>
                <w:sz w:val="18"/>
                <w:szCs w:val="18"/>
              </w:rPr>
            </w:pPr>
            <w:r>
              <w:rPr>
                <w:rFonts w:ascii="Arial" w:eastAsia="宋体" w:hAnsi="Arial" w:cs="Arial"/>
                <w:color w:val="333333"/>
                <w:sz w:val="18"/>
                <w:szCs w:val="18"/>
              </w:rPr>
              <w:t>Liabilities:</w:t>
            </w:r>
          </w:p>
        </w:tc>
        <w:tc>
          <w:tcPr>
            <w:tcW w:w="0" w:type="auto"/>
            <w:shd w:val="clear" w:color="auto" w:fill="auto"/>
            <w:tcMar>
              <w:top w:w="40" w:type="dxa"/>
              <w:left w:w="40" w:type="dxa"/>
              <w:bottom w:w="40" w:type="dxa"/>
              <w:right w:w="40" w:type="dxa"/>
            </w:tcMar>
            <w:vAlign w:val="bottom"/>
          </w:tcPr>
          <w:p w14:paraId="3750EBC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BC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BC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BC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BC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BC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BC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BD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BD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BD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BD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BD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BEF" w14:textId="77777777">
        <w:tc>
          <w:tcPr>
            <w:tcW w:w="0" w:type="auto"/>
            <w:shd w:val="clear" w:color="auto" w:fill="auto"/>
            <w:tcMar>
              <w:top w:w="40" w:type="dxa"/>
              <w:left w:w="240" w:type="dxa"/>
              <w:bottom w:w="40" w:type="dxa"/>
              <w:right w:w="40" w:type="dxa"/>
            </w:tcMar>
          </w:tcPr>
          <w:p w14:paraId="3750EBD6"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 xml:space="preserve">Derivative liabilities subject to master netting </w:t>
            </w:r>
            <w:r>
              <w:rPr>
                <w:rFonts w:ascii="Arial" w:eastAsia="宋体" w:hAnsi="Arial" w:cs="Arial"/>
                <w:color w:val="333333"/>
                <w:sz w:val="18"/>
                <w:szCs w:val="18"/>
              </w:rPr>
              <w:t>arrangements</w:t>
            </w:r>
          </w:p>
        </w:tc>
        <w:tc>
          <w:tcPr>
            <w:tcW w:w="0" w:type="auto"/>
            <w:shd w:val="clear" w:color="auto" w:fill="auto"/>
            <w:tcMar>
              <w:top w:w="40" w:type="dxa"/>
              <w:left w:w="40" w:type="dxa"/>
              <w:bottom w:w="40" w:type="dxa"/>
              <w:right w:w="40" w:type="dxa"/>
            </w:tcMar>
            <w:vAlign w:val="bottom"/>
          </w:tcPr>
          <w:p w14:paraId="3750EBD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BD8"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BD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865</w:t>
            </w:r>
          </w:p>
        </w:tc>
        <w:tc>
          <w:tcPr>
            <w:tcW w:w="0" w:type="auto"/>
            <w:shd w:val="clear" w:color="auto" w:fill="auto"/>
            <w:vAlign w:val="bottom"/>
          </w:tcPr>
          <w:p w14:paraId="3750EBD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BD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BDC"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BD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EBD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BD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tcMar>
            <w:vAlign w:val="bottom"/>
          </w:tcPr>
          <w:p w14:paraId="3750EBE0"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bottom w:val="single" w:sz="8" w:space="0" w:color="333333"/>
            </w:tcBorders>
            <w:shd w:val="clear" w:color="auto" w:fill="auto"/>
            <w:tcMar>
              <w:top w:w="40" w:type="dxa"/>
              <w:bottom w:w="40" w:type="dxa"/>
            </w:tcMar>
            <w:vAlign w:val="bottom"/>
          </w:tcPr>
          <w:p w14:paraId="3750EBE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865</w:t>
            </w:r>
          </w:p>
        </w:tc>
        <w:tc>
          <w:tcPr>
            <w:tcW w:w="0" w:type="auto"/>
            <w:tcBorders>
              <w:bottom w:val="single" w:sz="8" w:space="0" w:color="333333"/>
            </w:tcBorders>
            <w:shd w:val="clear" w:color="auto" w:fill="auto"/>
            <w:vAlign w:val="bottom"/>
          </w:tcPr>
          <w:p w14:paraId="3750EBE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BE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BE4"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BE5"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(457</w:t>
            </w:r>
          </w:p>
        </w:tc>
        <w:tc>
          <w:tcPr>
            <w:tcW w:w="0" w:type="auto"/>
            <w:shd w:val="clear" w:color="auto" w:fill="auto"/>
            <w:tcMar>
              <w:top w:w="40" w:type="dxa"/>
              <w:bottom w:w="40" w:type="dxa"/>
              <w:right w:w="40" w:type="dxa"/>
            </w:tcMar>
            <w:vAlign w:val="bottom"/>
          </w:tcPr>
          <w:p w14:paraId="3750EBE6"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BE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BE8"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BE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(221</w:t>
            </w:r>
          </w:p>
        </w:tc>
        <w:tc>
          <w:tcPr>
            <w:tcW w:w="0" w:type="auto"/>
            <w:shd w:val="clear" w:color="auto" w:fill="auto"/>
            <w:tcMar>
              <w:top w:w="40" w:type="dxa"/>
              <w:bottom w:w="40" w:type="dxa"/>
              <w:right w:w="40" w:type="dxa"/>
            </w:tcMar>
            <w:vAlign w:val="bottom"/>
          </w:tcPr>
          <w:p w14:paraId="3750EBEA"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BE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tcMar>
            <w:vAlign w:val="bottom"/>
          </w:tcPr>
          <w:p w14:paraId="3750EBEC"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bottom w:val="single" w:sz="8" w:space="0" w:color="333333"/>
            </w:tcBorders>
            <w:shd w:val="clear" w:color="auto" w:fill="auto"/>
            <w:tcMar>
              <w:top w:w="40" w:type="dxa"/>
              <w:bottom w:w="40" w:type="dxa"/>
            </w:tcMar>
            <w:vAlign w:val="bottom"/>
          </w:tcPr>
          <w:p w14:paraId="3750EBE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187</w:t>
            </w:r>
          </w:p>
        </w:tc>
        <w:tc>
          <w:tcPr>
            <w:tcW w:w="0" w:type="auto"/>
            <w:tcBorders>
              <w:bottom w:val="single" w:sz="8" w:space="0" w:color="333333"/>
            </w:tcBorders>
            <w:shd w:val="clear" w:color="auto" w:fill="auto"/>
            <w:vAlign w:val="bottom"/>
          </w:tcPr>
          <w:p w14:paraId="3750EBEE" w14:textId="77777777" w:rsidR="002541AD" w:rsidRDefault="002541AD">
            <w:pPr>
              <w:textAlignment w:val="bottom"/>
              <w:rPr>
                <w:rFonts w:ascii="Times New Roman" w:hAnsi="Times New Roman"/>
                <w:sz w:val="20"/>
                <w:szCs w:val="20"/>
              </w:rPr>
            </w:pPr>
          </w:p>
        </w:tc>
      </w:tr>
      <w:tr w:rsidR="002541AD" w14:paraId="3750EC09" w14:textId="77777777">
        <w:tc>
          <w:tcPr>
            <w:tcW w:w="0" w:type="auto"/>
            <w:shd w:val="clear" w:color="auto" w:fill="auto"/>
            <w:tcMar>
              <w:top w:w="40" w:type="dxa"/>
              <w:left w:w="40" w:type="dxa"/>
              <w:bottom w:w="40" w:type="dxa"/>
              <w:right w:w="40" w:type="dxa"/>
            </w:tcMar>
            <w:vAlign w:val="bottom"/>
          </w:tcPr>
          <w:p w14:paraId="3750EBF0"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Total liabilities</w:t>
            </w:r>
          </w:p>
        </w:tc>
        <w:tc>
          <w:tcPr>
            <w:tcW w:w="0" w:type="auto"/>
            <w:shd w:val="clear" w:color="auto" w:fill="auto"/>
            <w:tcMar>
              <w:top w:w="40" w:type="dxa"/>
              <w:left w:w="40" w:type="dxa"/>
              <w:bottom w:w="40" w:type="dxa"/>
              <w:right w:w="40" w:type="dxa"/>
            </w:tcMar>
            <w:vAlign w:val="bottom"/>
          </w:tcPr>
          <w:p w14:paraId="3750EBF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BF2"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BF3"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865</w:t>
            </w:r>
          </w:p>
        </w:tc>
        <w:tc>
          <w:tcPr>
            <w:tcW w:w="0" w:type="auto"/>
            <w:tcBorders>
              <w:top w:val="single" w:sz="8" w:space="0" w:color="333333"/>
              <w:bottom w:val="double" w:sz="6" w:space="0" w:color="333333"/>
            </w:tcBorders>
            <w:shd w:val="clear" w:color="auto" w:fill="auto"/>
            <w:vAlign w:val="bottom"/>
          </w:tcPr>
          <w:p w14:paraId="3750EBF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BF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BF6"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BF7"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vAlign w:val="bottom"/>
          </w:tcPr>
          <w:p w14:paraId="3750EBF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BF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BFA"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BFB"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865</w:t>
            </w:r>
          </w:p>
        </w:tc>
        <w:tc>
          <w:tcPr>
            <w:tcW w:w="0" w:type="auto"/>
            <w:tcBorders>
              <w:top w:val="single" w:sz="8" w:space="0" w:color="333333"/>
              <w:bottom w:val="double" w:sz="6" w:space="0" w:color="333333"/>
            </w:tcBorders>
            <w:shd w:val="clear" w:color="auto" w:fill="auto"/>
            <w:vAlign w:val="bottom"/>
          </w:tcPr>
          <w:p w14:paraId="3750EBF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BF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BFE"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BFF"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(457</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EC00"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3750EC0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C02"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C03"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(221</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EC04"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3750EC0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C06"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C07"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187</w:t>
            </w:r>
          </w:p>
        </w:tc>
        <w:tc>
          <w:tcPr>
            <w:tcW w:w="0" w:type="auto"/>
            <w:tcBorders>
              <w:top w:val="single" w:sz="8" w:space="0" w:color="333333"/>
              <w:bottom w:val="double" w:sz="6" w:space="0" w:color="333333"/>
            </w:tcBorders>
            <w:shd w:val="clear" w:color="auto" w:fill="auto"/>
            <w:vAlign w:val="bottom"/>
          </w:tcPr>
          <w:p w14:paraId="3750EC08" w14:textId="77777777" w:rsidR="002541AD" w:rsidRDefault="002541AD">
            <w:pPr>
              <w:textAlignment w:val="bottom"/>
              <w:rPr>
                <w:rFonts w:ascii="Times New Roman" w:hAnsi="Times New Roman"/>
                <w:sz w:val="20"/>
                <w:szCs w:val="20"/>
              </w:rPr>
            </w:pPr>
          </w:p>
        </w:tc>
      </w:tr>
    </w:tbl>
    <w:p w14:paraId="3750EC0A" w14:textId="77777777" w:rsidR="002541AD" w:rsidRDefault="002541AD">
      <w:pPr>
        <w:rPr>
          <w:vanish/>
        </w:rPr>
      </w:pPr>
    </w:p>
    <w:tbl>
      <w:tblPr>
        <w:tblW w:w="5000" w:type="pct"/>
        <w:tblCellMar>
          <w:left w:w="0" w:type="dxa"/>
          <w:right w:w="0" w:type="dxa"/>
        </w:tblCellMar>
        <w:tblLook w:val="04A0" w:firstRow="1" w:lastRow="0" w:firstColumn="1" w:lastColumn="0" w:noHBand="0" w:noVBand="1"/>
      </w:tblPr>
      <w:tblGrid>
        <w:gridCol w:w="1477"/>
        <w:gridCol w:w="130"/>
        <w:gridCol w:w="142"/>
        <w:gridCol w:w="892"/>
        <w:gridCol w:w="99"/>
        <w:gridCol w:w="130"/>
        <w:gridCol w:w="142"/>
        <w:gridCol w:w="703"/>
        <w:gridCol w:w="78"/>
        <w:gridCol w:w="130"/>
        <w:gridCol w:w="142"/>
        <w:gridCol w:w="778"/>
        <w:gridCol w:w="86"/>
        <w:gridCol w:w="130"/>
        <w:gridCol w:w="141"/>
        <w:gridCol w:w="909"/>
        <w:gridCol w:w="101"/>
        <w:gridCol w:w="130"/>
        <w:gridCol w:w="142"/>
        <w:gridCol w:w="761"/>
        <w:gridCol w:w="101"/>
        <w:gridCol w:w="130"/>
        <w:gridCol w:w="142"/>
        <w:gridCol w:w="621"/>
        <w:gridCol w:w="69"/>
      </w:tblGrid>
      <w:tr w:rsidR="002541AD" w14:paraId="3750EC0C" w14:textId="77777777">
        <w:tc>
          <w:tcPr>
            <w:tcW w:w="0" w:type="auto"/>
            <w:gridSpan w:val="25"/>
            <w:shd w:val="clear" w:color="auto" w:fill="auto"/>
            <w:vAlign w:val="center"/>
          </w:tcPr>
          <w:p w14:paraId="3750EC0B" w14:textId="77777777" w:rsidR="002541AD" w:rsidRDefault="002541AD">
            <w:pPr>
              <w:rPr>
                <w:rFonts w:ascii="Times New Roman" w:hAnsi="Times New Roman"/>
                <w:sz w:val="20"/>
                <w:szCs w:val="20"/>
              </w:rPr>
            </w:pPr>
          </w:p>
        </w:tc>
      </w:tr>
      <w:tr w:rsidR="002541AD" w14:paraId="3750EC26" w14:textId="77777777">
        <w:tc>
          <w:tcPr>
            <w:tcW w:w="1400" w:type="pct"/>
            <w:shd w:val="clear" w:color="auto" w:fill="auto"/>
            <w:vAlign w:val="center"/>
          </w:tcPr>
          <w:p w14:paraId="3750EC0D" w14:textId="77777777" w:rsidR="002541AD" w:rsidRDefault="002541AD">
            <w:pPr>
              <w:rPr>
                <w:rFonts w:ascii="Times New Roman" w:hAnsi="Times New Roman"/>
                <w:sz w:val="20"/>
                <w:szCs w:val="20"/>
              </w:rPr>
            </w:pPr>
          </w:p>
        </w:tc>
        <w:tc>
          <w:tcPr>
            <w:tcW w:w="50" w:type="pct"/>
            <w:shd w:val="clear" w:color="auto" w:fill="auto"/>
            <w:vAlign w:val="center"/>
          </w:tcPr>
          <w:p w14:paraId="3750EC0E" w14:textId="77777777" w:rsidR="002541AD" w:rsidRDefault="002541AD">
            <w:pPr>
              <w:rPr>
                <w:rFonts w:ascii="Times New Roman" w:hAnsi="Times New Roman"/>
                <w:sz w:val="20"/>
                <w:szCs w:val="20"/>
              </w:rPr>
            </w:pPr>
          </w:p>
        </w:tc>
        <w:tc>
          <w:tcPr>
            <w:tcW w:w="50" w:type="pct"/>
            <w:shd w:val="clear" w:color="auto" w:fill="auto"/>
            <w:vAlign w:val="center"/>
          </w:tcPr>
          <w:p w14:paraId="3750EC0F" w14:textId="77777777" w:rsidR="002541AD" w:rsidRDefault="002541AD">
            <w:pPr>
              <w:rPr>
                <w:rFonts w:ascii="Times New Roman" w:hAnsi="Times New Roman"/>
                <w:sz w:val="20"/>
                <w:szCs w:val="20"/>
              </w:rPr>
            </w:pPr>
          </w:p>
        </w:tc>
        <w:tc>
          <w:tcPr>
            <w:tcW w:w="450" w:type="pct"/>
            <w:shd w:val="clear" w:color="auto" w:fill="auto"/>
            <w:vAlign w:val="center"/>
          </w:tcPr>
          <w:p w14:paraId="3750EC10" w14:textId="77777777" w:rsidR="002541AD" w:rsidRDefault="002541AD">
            <w:pPr>
              <w:rPr>
                <w:rFonts w:ascii="Times New Roman" w:hAnsi="Times New Roman"/>
                <w:sz w:val="20"/>
                <w:szCs w:val="20"/>
              </w:rPr>
            </w:pPr>
          </w:p>
        </w:tc>
        <w:tc>
          <w:tcPr>
            <w:tcW w:w="50" w:type="pct"/>
            <w:shd w:val="clear" w:color="auto" w:fill="auto"/>
            <w:vAlign w:val="center"/>
          </w:tcPr>
          <w:p w14:paraId="3750EC11" w14:textId="77777777" w:rsidR="002541AD" w:rsidRDefault="002541AD">
            <w:pPr>
              <w:rPr>
                <w:rFonts w:ascii="Times New Roman" w:hAnsi="Times New Roman"/>
                <w:sz w:val="20"/>
                <w:szCs w:val="20"/>
              </w:rPr>
            </w:pPr>
          </w:p>
        </w:tc>
        <w:tc>
          <w:tcPr>
            <w:tcW w:w="50" w:type="pct"/>
            <w:shd w:val="clear" w:color="auto" w:fill="auto"/>
            <w:vAlign w:val="center"/>
          </w:tcPr>
          <w:p w14:paraId="3750EC12" w14:textId="77777777" w:rsidR="002541AD" w:rsidRDefault="002541AD">
            <w:pPr>
              <w:rPr>
                <w:rFonts w:ascii="Times New Roman" w:hAnsi="Times New Roman"/>
                <w:sz w:val="20"/>
                <w:szCs w:val="20"/>
              </w:rPr>
            </w:pPr>
          </w:p>
        </w:tc>
        <w:tc>
          <w:tcPr>
            <w:tcW w:w="50" w:type="pct"/>
            <w:shd w:val="clear" w:color="auto" w:fill="auto"/>
            <w:vAlign w:val="center"/>
          </w:tcPr>
          <w:p w14:paraId="3750EC13" w14:textId="77777777" w:rsidR="002541AD" w:rsidRDefault="002541AD">
            <w:pPr>
              <w:rPr>
                <w:rFonts w:ascii="Times New Roman" w:hAnsi="Times New Roman"/>
                <w:sz w:val="20"/>
                <w:szCs w:val="20"/>
              </w:rPr>
            </w:pPr>
          </w:p>
        </w:tc>
        <w:tc>
          <w:tcPr>
            <w:tcW w:w="450" w:type="pct"/>
            <w:shd w:val="clear" w:color="auto" w:fill="auto"/>
            <w:vAlign w:val="center"/>
          </w:tcPr>
          <w:p w14:paraId="3750EC14" w14:textId="77777777" w:rsidR="002541AD" w:rsidRDefault="002541AD">
            <w:pPr>
              <w:rPr>
                <w:rFonts w:ascii="Times New Roman" w:hAnsi="Times New Roman"/>
                <w:sz w:val="20"/>
                <w:szCs w:val="20"/>
              </w:rPr>
            </w:pPr>
          </w:p>
        </w:tc>
        <w:tc>
          <w:tcPr>
            <w:tcW w:w="50" w:type="pct"/>
            <w:shd w:val="clear" w:color="auto" w:fill="auto"/>
            <w:vAlign w:val="center"/>
          </w:tcPr>
          <w:p w14:paraId="3750EC15" w14:textId="77777777" w:rsidR="002541AD" w:rsidRDefault="002541AD">
            <w:pPr>
              <w:rPr>
                <w:rFonts w:ascii="Times New Roman" w:hAnsi="Times New Roman"/>
                <w:sz w:val="20"/>
                <w:szCs w:val="20"/>
              </w:rPr>
            </w:pPr>
          </w:p>
        </w:tc>
        <w:tc>
          <w:tcPr>
            <w:tcW w:w="50" w:type="pct"/>
            <w:shd w:val="clear" w:color="auto" w:fill="auto"/>
            <w:vAlign w:val="center"/>
          </w:tcPr>
          <w:p w14:paraId="3750EC16" w14:textId="77777777" w:rsidR="002541AD" w:rsidRDefault="002541AD">
            <w:pPr>
              <w:rPr>
                <w:rFonts w:ascii="Times New Roman" w:hAnsi="Times New Roman"/>
                <w:sz w:val="20"/>
                <w:szCs w:val="20"/>
              </w:rPr>
            </w:pPr>
          </w:p>
        </w:tc>
        <w:tc>
          <w:tcPr>
            <w:tcW w:w="50" w:type="pct"/>
            <w:shd w:val="clear" w:color="auto" w:fill="auto"/>
            <w:vAlign w:val="center"/>
          </w:tcPr>
          <w:p w14:paraId="3750EC17" w14:textId="77777777" w:rsidR="002541AD" w:rsidRDefault="002541AD">
            <w:pPr>
              <w:rPr>
                <w:rFonts w:ascii="Times New Roman" w:hAnsi="Times New Roman"/>
                <w:sz w:val="20"/>
                <w:szCs w:val="20"/>
              </w:rPr>
            </w:pPr>
          </w:p>
        </w:tc>
        <w:tc>
          <w:tcPr>
            <w:tcW w:w="450" w:type="pct"/>
            <w:shd w:val="clear" w:color="auto" w:fill="auto"/>
            <w:vAlign w:val="center"/>
          </w:tcPr>
          <w:p w14:paraId="3750EC18" w14:textId="77777777" w:rsidR="002541AD" w:rsidRDefault="002541AD">
            <w:pPr>
              <w:rPr>
                <w:rFonts w:ascii="Times New Roman" w:hAnsi="Times New Roman"/>
                <w:sz w:val="20"/>
                <w:szCs w:val="20"/>
              </w:rPr>
            </w:pPr>
          </w:p>
        </w:tc>
        <w:tc>
          <w:tcPr>
            <w:tcW w:w="50" w:type="pct"/>
            <w:shd w:val="clear" w:color="auto" w:fill="auto"/>
            <w:vAlign w:val="center"/>
          </w:tcPr>
          <w:p w14:paraId="3750EC19" w14:textId="77777777" w:rsidR="002541AD" w:rsidRDefault="002541AD">
            <w:pPr>
              <w:rPr>
                <w:rFonts w:ascii="Times New Roman" w:hAnsi="Times New Roman"/>
                <w:sz w:val="20"/>
                <w:szCs w:val="20"/>
              </w:rPr>
            </w:pPr>
          </w:p>
        </w:tc>
        <w:tc>
          <w:tcPr>
            <w:tcW w:w="50" w:type="pct"/>
            <w:shd w:val="clear" w:color="auto" w:fill="auto"/>
            <w:vAlign w:val="center"/>
          </w:tcPr>
          <w:p w14:paraId="3750EC1A" w14:textId="77777777" w:rsidR="002541AD" w:rsidRDefault="002541AD">
            <w:pPr>
              <w:rPr>
                <w:rFonts w:ascii="Times New Roman" w:hAnsi="Times New Roman"/>
                <w:sz w:val="20"/>
                <w:szCs w:val="20"/>
              </w:rPr>
            </w:pPr>
          </w:p>
        </w:tc>
        <w:tc>
          <w:tcPr>
            <w:tcW w:w="50" w:type="pct"/>
            <w:shd w:val="clear" w:color="auto" w:fill="auto"/>
            <w:vAlign w:val="center"/>
          </w:tcPr>
          <w:p w14:paraId="3750EC1B" w14:textId="77777777" w:rsidR="002541AD" w:rsidRDefault="002541AD">
            <w:pPr>
              <w:rPr>
                <w:rFonts w:ascii="Times New Roman" w:hAnsi="Times New Roman"/>
                <w:sz w:val="20"/>
                <w:szCs w:val="20"/>
              </w:rPr>
            </w:pPr>
          </w:p>
        </w:tc>
        <w:tc>
          <w:tcPr>
            <w:tcW w:w="450" w:type="pct"/>
            <w:shd w:val="clear" w:color="auto" w:fill="auto"/>
            <w:vAlign w:val="center"/>
          </w:tcPr>
          <w:p w14:paraId="3750EC1C" w14:textId="77777777" w:rsidR="002541AD" w:rsidRDefault="002541AD">
            <w:pPr>
              <w:rPr>
                <w:rFonts w:ascii="Times New Roman" w:hAnsi="Times New Roman"/>
                <w:sz w:val="20"/>
                <w:szCs w:val="20"/>
              </w:rPr>
            </w:pPr>
          </w:p>
        </w:tc>
        <w:tc>
          <w:tcPr>
            <w:tcW w:w="50" w:type="pct"/>
            <w:shd w:val="clear" w:color="auto" w:fill="auto"/>
            <w:vAlign w:val="center"/>
          </w:tcPr>
          <w:p w14:paraId="3750EC1D" w14:textId="77777777" w:rsidR="002541AD" w:rsidRDefault="002541AD">
            <w:pPr>
              <w:rPr>
                <w:rFonts w:ascii="Times New Roman" w:hAnsi="Times New Roman"/>
                <w:sz w:val="20"/>
                <w:szCs w:val="20"/>
              </w:rPr>
            </w:pPr>
          </w:p>
        </w:tc>
        <w:tc>
          <w:tcPr>
            <w:tcW w:w="50" w:type="pct"/>
            <w:shd w:val="clear" w:color="auto" w:fill="auto"/>
            <w:vAlign w:val="center"/>
          </w:tcPr>
          <w:p w14:paraId="3750EC1E" w14:textId="77777777" w:rsidR="002541AD" w:rsidRDefault="002541AD">
            <w:pPr>
              <w:rPr>
                <w:rFonts w:ascii="Times New Roman" w:hAnsi="Times New Roman"/>
                <w:sz w:val="20"/>
                <w:szCs w:val="20"/>
              </w:rPr>
            </w:pPr>
          </w:p>
        </w:tc>
        <w:tc>
          <w:tcPr>
            <w:tcW w:w="50" w:type="pct"/>
            <w:shd w:val="clear" w:color="auto" w:fill="auto"/>
            <w:vAlign w:val="center"/>
          </w:tcPr>
          <w:p w14:paraId="3750EC1F" w14:textId="77777777" w:rsidR="002541AD" w:rsidRDefault="002541AD">
            <w:pPr>
              <w:rPr>
                <w:rFonts w:ascii="Times New Roman" w:hAnsi="Times New Roman"/>
                <w:sz w:val="20"/>
                <w:szCs w:val="20"/>
              </w:rPr>
            </w:pPr>
          </w:p>
        </w:tc>
        <w:tc>
          <w:tcPr>
            <w:tcW w:w="450" w:type="pct"/>
            <w:shd w:val="clear" w:color="auto" w:fill="auto"/>
            <w:vAlign w:val="center"/>
          </w:tcPr>
          <w:p w14:paraId="3750EC20" w14:textId="77777777" w:rsidR="002541AD" w:rsidRDefault="002541AD">
            <w:pPr>
              <w:rPr>
                <w:rFonts w:ascii="Times New Roman" w:hAnsi="Times New Roman"/>
                <w:sz w:val="20"/>
                <w:szCs w:val="20"/>
              </w:rPr>
            </w:pPr>
          </w:p>
        </w:tc>
        <w:tc>
          <w:tcPr>
            <w:tcW w:w="50" w:type="pct"/>
            <w:shd w:val="clear" w:color="auto" w:fill="auto"/>
            <w:vAlign w:val="center"/>
          </w:tcPr>
          <w:p w14:paraId="3750EC21" w14:textId="77777777" w:rsidR="002541AD" w:rsidRDefault="002541AD">
            <w:pPr>
              <w:rPr>
                <w:rFonts w:ascii="Times New Roman" w:hAnsi="Times New Roman"/>
                <w:sz w:val="20"/>
                <w:szCs w:val="20"/>
              </w:rPr>
            </w:pPr>
          </w:p>
        </w:tc>
        <w:tc>
          <w:tcPr>
            <w:tcW w:w="50" w:type="pct"/>
            <w:shd w:val="clear" w:color="auto" w:fill="auto"/>
            <w:vAlign w:val="center"/>
          </w:tcPr>
          <w:p w14:paraId="3750EC22" w14:textId="77777777" w:rsidR="002541AD" w:rsidRDefault="002541AD">
            <w:pPr>
              <w:rPr>
                <w:rFonts w:ascii="Times New Roman" w:hAnsi="Times New Roman"/>
                <w:sz w:val="20"/>
                <w:szCs w:val="20"/>
              </w:rPr>
            </w:pPr>
          </w:p>
        </w:tc>
        <w:tc>
          <w:tcPr>
            <w:tcW w:w="50" w:type="pct"/>
            <w:shd w:val="clear" w:color="auto" w:fill="auto"/>
            <w:vAlign w:val="center"/>
          </w:tcPr>
          <w:p w14:paraId="3750EC23" w14:textId="77777777" w:rsidR="002541AD" w:rsidRDefault="002541AD">
            <w:pPr>
              <w:rPr>
                <w:rFonts w:ascii="Times New Roman" w:hAnsi="Times New Roman"/>
                <w:sz w:val="20"/>
                <w:szCs w:val="20"/>
              </w:rPr>
            </w:pPr>
          </w:p>
        </w:tc>
        <w:tc>
          <w:tcPr>
            <w:tcW w:w="450" w:type="pct"/>
            <w:shd w:val="clear" w:color="auto" w:fill="auto"/>
            <w:vAlign w:val="center"/>
          </w:tcPr>
          <w:p w14:paraId="3750EC24" w14:textId="77777777" w:rsidR="002541AD" w:rsidRDefault="002541AD">
            <w:pPr>
              <w:rPr>
                <w:rFonts w:ascii="Times New Roman" w:hAnsi="Times New Roman"/>
                <w:sz w:val="20"/>
                <w:szCs w:val="20"/>
              </w:rPr>
            </w:pPr>
          </w:p>
        </w:tc>
        <w:tc>
          <w:tcPr>
            <w:tcW w:w="50" w:type="pct"/>
            <w:shd w:val="clear" w:color="auto" w:fill="auto"/>
            <w:vAlign w:val="center"/>
          </w:tcPr>
          <w:p w14:paraId="3750EC25" w14:textId="77777777" w:rsidR="002541AD" w:rsidRDefault="002541AD">
            <w:pPr>
              <w:rPr>
                <w:rFonts w:ascii="Times New Roman" w:hAnsi="Times New Roman"/>
                <w:sz w:val="20"/>
                <w:szCs w:val="20"/>
              </w:rPr>
            </w:pPr>
          </w:p>
        </w:tc>
      </w:tr>
      <w:tr w:rsidR="002541AD" w14:paraId="3750EC2A" w14:textId="77777777">
        <w:tc>
          <w:tcPr>
            <w:tcW w:w="0" w:type="auto"/>
            <w:shd w:val="clear" w:color="auto" w:fill="auto"/>
            <w:tcMar>
              <w:top w:w="40" w:type="dxa"/>
              <w:left w:w="40" w:type="dxa"/>
              <w:bottom w:w="40" w:type="dxa"/>
              <w:right w:w="40" w:type="dxa"/>
            </w:tcMar>
            <w:vAlign w:val="bottom"/>
          </w:tcPr>
          <w:p w14:paraId="3750EC2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C2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71C5"/>
            </w:tcBorders>
            <w:shd w:val="clear" w:color="auto" w:fill="auto"/>
            <w:tcMar>
              <w:top w:w="40" w:type="dxa"/>
              <w:left w:w="40" w:type="dxa"/>
              <w:bottom w:w="40" w:type="dxa"/>
            </w:tcMar>
            <w:vAlign w:val="bottom"/>
          </w:tcPr>
          <w:p w14:paraId="3750EC29"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December 28, 2019</w:t>
            </w:r>
          </w:p>
        </w:tc>
      </w:tr>
      <w:tr w:rsidR="002541AD" w14:paraId="3750EC36" w14:textId="77777777">
        <w:tc>
          <w:tcPr>
            <w:tcW w:w="0" w:type="auto"/>
            <w:shd w:val="clear" w:color="auto" w:fill="auto"/>
            <w:tcMar>
              <w:top w:w="40" w:type="dxa"/>
              <w:left w:w="40" w:type="dxa"/>
              <w:bottom w:w="40" w:type="dxa"/>
              <w:right w:w="40" w:type="dxa"/>
            </w:tcMar>
            <w:vAlign w:val="bottom"/>
          </w:tcPr>
          <w:p w14:paraId="3750EC2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C2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C2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C2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C2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C3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C3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C3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3750EC33"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Gross Amounts Not Offset in the Balance Sheet</w:t>
            </w:r>
          </w:p>
        </w:tc>
        <w:tc>
          <w:tcPr>
            <w:tcW w:w="0" w:type="auto"/>
            <w:shd w:val="clear" w:color="auto" w:fill="auto"/>
            <w:tcMar>
              <w:top w:w="40" w:type="dxa"/>
              <w:left w:w="40" w:type="dxa"/>
              <w:bottom w:w="40" w:type="dxa"/>
              <w:right w:w="40" w:type="dxa"/>
            </w:tcMar>
            <w:vAlign w:val="bottom"/>
          </w:tcPr>
          <w:p w14:paraId="3750EC3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C3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C44"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C37"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EC3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C39"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Gross Amounts Recognized</w:t>
            </w:r>
          </w:p>
        </w:tc>
        <w:tc>
          <w:tcPr>
            <w:tcW w:w="0" w:type="auto"/>
            <w:shd w:val="clear" w:color="auto" w:fill="auto"/>
            <w:tcMar>
              <w:top w:w="40" w:type="dxa"/>
              <w:left w:w="40" w:type="dxa"/>
              <w:bottom w:w="40" w:type="dxa"/>
              <w:right w:w="40" w:type="dxa"/>
            </w:tcMar>
            <w:vAlign w:val="bottom"/>
          </w:tcPr>
          <w:p w14:paraId="3750EC3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C3B"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Gross Amounts Offset in the Balance Sheet</w:t>
            </w:r>
          </w:p>
        </w:tc>
        <w:tc>
          <w:tcPr>
            <w:tcW w:w="0" w:type="auto"/>
            <w:shd w:val="clear" w:color="auto" w:fill="auto"/>
            <w:tcMar>
              <w:top w:w="40" w:type="dxa"/>
              <w:left w:w="40" w:type="dxa"/>
              <w:bottom w:w="40" w:type="dxa"/>
              <w:right w:w="40" w:type="dxa"/>
            </w:tcMar>
            <w:vAlign w:val="bottom"/>
          </w:tcPr>
          <w:p w14:paraId="3750EC3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C3D"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Net Amounts Presented in the Balance Sheet</w:t>
            </w:r>
          </w:p>
        </w:tc>
        <w:tc>
          <w:tcPr>
            <w:tcW w:w="0" w:type="auto"/>
            <w:shd w:val="clear" w:color="auto" w:fill="auto"/>
            <w:tcMar>
              <w:top w:w="40" w:type="dxa"/>
              <w:left w:w="40" w:type="dxa"/>
              <w:bottom w:w="40" w:type="dxa"/>
              <w:right w:w="40" w:type="dxa"/>
            </w:tcMar>
            <w:vAlign w:val="bottom"/>
          </w:tcPr>
          <w:p w14:paraId="3750EC3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C3F"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Financial Instruments</w:t>
            </w:r>
          </w:p>
        </w:tc>
        <w:tc>
          <w:tcPr>
            <w:tcW w:w="0" w:type="auto"/>
            <w:shd w:val="clear" w:color="auto" w:fill="auto"/>
            <w:tcMar>
              <w:top w:w="40" w:type="dxa"/>
              <w:left w:w="40" w:type="dxa"/>
              <w:bottom w:w="40" w:type="dxa"/>
              <w:right w:w="40" w:type="dxa"/>
            </w:tcMar>
            <w:vAlign w:val="bottom"/>
          </w:tcPr>
          <w:p w14:paraId="3750EC4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C41"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Cash and Non-Cash Collateral Received or Pledged</w:t>
            </w:r>
          </w:p>
        </w:tc>
        <w:tc>
          <w:tcPr>
            <w:tcW w:w="0" w:type="auto"/>
            <w:shd w:val="clear" w:color="auto" w:fill="auto"/>
            <w:tcMar>
              <w:top w:w="40" w:type="dxa"/>
              <w:left w:w="40" w:type="dxa"/>
              <w:bottom w:w="40" w:type="dxa"/>
              <w:right w:w="40" w:type="dxa"/>
            </w:tcMar>
            <w:vAlign w:val="bottom"/>
          </w:tcPr>
          <w:p w14:paraId="3750EC4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C43"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Net Amount</w:t>
            </w:r>
          </w:p>
        </w:tc>
      </w:tr>
      <w:tr w:rsidR="002541AD" w14:paraId="3750EC52" w14:textId="77777777">
        <w:tc>
          <w:tcPr>
            <w:tcW w:w="0" w:type="auto"/>
            <w:shd w:val="clear" w:color="auto" w:fill="auto"/>
            <w:tcMar>
              <w:top w:w="40" w:type="dxa"/>
              <w:left w:w="40" w:type="dxa"/>
              <w:bottom w:w="40" w:type="dxa"/>
              <w:right w:w="40" w:type="dxa"/>
            </w:tcMar>
            <w:vAlign w:val="bottom"/>
          </w:tcPr>
          <w:p w14:paraId="3750EC45" w14:textId="77777777" w:rsidR="002541AD" w:rsidRDefault="00901AA6">
            <w:pPr>
              <w:ind w:hanging="240"/>
              <w:textAlignment w:val="bottom"/>
              <w:rPr>
                <w:rFonts w:ascii="Times New Roman" w:hAnsi="Times New Roman"/>
                <w:sz w:val="18"/>
                <w:szCs w:val="18"/>
              </w:rPr>
            </w:pPr>
            <w:r>
              <w:rPr>
                <w:rFonts w:ascii="Arial" w:eastAsia="宋体" w:hAnsi="Arial" w:cs="Arial"/>
                <w:color w:val="333333"/>
                <w:sz w:val="18"/>
                <w:szCs w:val="18"/>
              </w:rPr>
              <w:t>Assets:</w:t>
            </w:r>
          </w:p>
        </w:tc>
        <w:tc>
          <w:tcPr>
            <w:tcW w:w="0" w:type="auto"/>
            <w:shd w:val="clear" w:color="auto" w:fill="auto"/>
            <w:tcMar>
              <w:top w:w="40" w:type="dxa"/>
              <w:left w:w="40" w:type="dxa"/>
              <w:bottom w:w="40" w:type="dxa"/>
              <w:right w:w="40" w:type="dxa"/>
            </w:tcMar>
            <w:vAlign w:val="bottom"/>
          </w:tcPr>
          <w:p w14:paraId="3750EC4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C4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C4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C4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C4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C4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C4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C4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C4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C4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C5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C5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C6C" w14:textId="77777777">
        <w:tc>
          <w:tcPr>
            <w:tcW w:w="0" w:type="auto"/>
            <w:shd w:val="clear" w:color="auto" w:fill="auto"/>
            <w:tcMar>
              <w:top w:w="40" w:type="dxa"/>
              <w:left w:w="240" w:type="dxa"/>
              <w:bottom w:w="40" w:type="dxa"/>
              <w:right w:w="40" w:type="dxa"/>
            </w:tcMar>
          </w:tcPr>
          <w:p w14:paraId="3750EC53"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Derivative assets subject to master netting arrangements</w:t>
            </w:r>
          </w:p>
        </w:tc>
        <w:tc>
          <w:tcPr>
            <w:tcW w:w="0" w:type="auto"/>
            <w:shd w:val="clear" w:color="auto" w:fill="auto"/>
            <w:tcMar>
              <w:top w:w="40" w:type="dxa"/>
              <w:left w:w="40" w:type="dxa"/>
              <w:bottom w:w="40" w:type="dxa"/>
              <w:right w:w="40" w:type="dxa"/>
            </w:tcMar>
            <w:vAlign w:val="bottom"/>
          </w:tcPr>
          <w:p w14:paraId="3750EC5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C55"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C5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974</w:t>
            </w:r>
          </w:p>
        </w:tc>
        <w:tc>
          <w:tcPr>
            <w:tcW w:w="0" w:type="auto"/>
            <w:shd w:val="clear" w:color="auto" w:fill="auto"/>
            <w:vAlign w:val="bottom"/>
          </w:tcPr>
          <w:p w14:paraId="3750EC5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C5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C59"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C5A"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C5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C5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C5D"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C5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974</w:t>
            </w:r>
          </w:p>
        </w:tc>
        <w:tc>
          <w:tcPr>
            <w:tcW w:w="0" w:type="auto"/>
            <w:shd w:val="clear" w:color="auto" w:fill="auto"/>
            <w:vAlign w:val="bottom"/>
          </w:tcPr>
          <w:p w14:paraId="3750EC5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C6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C61"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C6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(144</w:t>
            </w:r>
          </w:p>
        </w:tc>
        <w:tc>
          <w:tcPr>
            <w:tcW w:w="0" w:type="auto"/>
            <w:shd w:val="clear" w:color="auto" w:fill="auto"/>
            <w:tcMar>
              <w:top w:w="40" w:type="dxa"/>
              <w:bottom w:w="40" w:type="dxa"/>
              <w:right w:w="40" w:type="dxa"/>
            </w:tcMar>
            <w:vAlign w:val="bottom"/>
          </w:tcPr>
          <w:p w14:paraId="3750EC63"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3750EC6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C65"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C6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(808</w:t>
            </w:r>
          </w:p>
        </w:tc>
        <w:tc>
          <w:tcPr>
            <w:tcW w:w="0" w:type="auto"/>
            <w:shd w:val="clear" w:color="auto" w:fill="auto"/>
            <w:tcMar>
              <w:top w:w="40" w:type="dxa"/>
              <w:bottom w:w="40" w:type="dxa"/>
              <w:right w:w="40" w:type="dxa"/>
            </w:tcMar>
            <w:vAlign w:val="bottom"/>
          </w:tcPr>
          <w:p w14:paraId="3750EC67"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3750EC6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C69"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C6A"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22</w:t>
            </w:r>
          </w:p>
        </w:tc>
        <w:tc>
          <w:tcPr>
            <w:tcW w:w="0" w:type="auto"/>
            <w:shd w:val="clear" w:color="auto" w:fill="auto"/>
            <w:vAlign w:val="bottom"/>
          </w:tcPr>
          <w:p w14:paraId="3750EC6B" w14:textId="77777777" w:rsidR="002541AD" w:rsidRDefault="002541AD">
            <w:pPr>
              <w:textAlignment w:val="bottom"/>
              <w:rPr>
                <w:rFonts w:ascii="Times New Roman" w:hAnsi="Times New Roman"/>
                <w:sz w:val="20"/>
                <w:szCs w:val="20"/>
              </w:rPr>
            </w:pPr>
          </w:p>
        </w:tc>
      </w:tr>
      <w:tr w:rsidR="002541AD" w14:paraId="3750EC80" w14:textId="77777777">
        <w:tc>
          <w:tcPr>
            <w:tcW w:w="0" w:type="auto"/>
            <w:shd w:val="clear" w:color="auto" w:fill="auto"/>
            <w:tcMar>
              <w:top w:w="40" w:type="dxa"/>
              <w:left w:w="240" w:type="dxa"/>
              <w:bottom w:w="40" w:type="dxa"/>
              <w:right w:w="40" w:type="dxa"/>
            </w:tcMar>
          </w:tcPr>
          <w:p w14:paraId="3750EC6D"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Reverse repurchase agreements</w:t>
            </w:r>
          </w:p>
        </w:tc>
        <w:tc>
          <w:tcPr>
            <w:tcW w:w="0" w:type="auto"/>
            <w:shd w:val="clear" w:color="auto" w:fill="auto"/>
            <w:tcMar>
              <w:top w:w="40" w:type="dxa"/>
              <w:left w:w="40" w:type="dxa"/>
              <w:bottom w:w="40" w:type="dxa"/>
              <w:right w:w="40" w:type="dxa"/>
            </w:tcMar>
            <w:vAlign w:val="bottom"/>
          </w:tcPr>
          <w:p w14:paraId="3750EC6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C6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1,850</w:t>
            </w:r>
          </w:p>
        </w:tc>
        <w:tc>
          <w:tcPr>
            <w:tcW w:w="0" w:type="auto"/>
            <w:shd w:val="clear" w:color="auto" w:fill="auto"/>
            <w:vAlign w:val="bottom"/>
          </w:tcPr>
          <w:p w14:paraId="3750EC7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C7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EC7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bottom w:val="single" w:sz="8" w:space="0" w:color="333333"/>
            </w:tcBorders>
            <w:shd w:val="clear" w:color="auto" w:fill="auto"/>
            <w:vAlign w:val="bottom"/>
          </w:tcPr>
          <w:p w14:paraId="3750EC73"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C7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EC75"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1,850</w:t>
            </w:r>
          </w:p>
        </w:tc>
        <w:tc>
          <w:tcPr>
            <w:tcW w:w="0" w:type="auto"/>
            <w:tcBorders>
              <w:bottom w:val="single" w:sz="8" w:space="0" w:color="333333"/>
            </w:tcBorders>
            <w:shd w:val="clear" w:color="auto" w:fill="auto"/>
            <w:vAlign w:val="bottom"/>
          </w:tcPr>
          <w:p w14:paraId="3750EC7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C7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C7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C79"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C7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C7B"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(1,850</w:t>
            </w:r>
          </w:p>
        </w:tc>
        <w:tc>
          <w:tcPr>
            <w:tcW w:w="0" w:type="auto"/>
            <w:shd w:val="clear" w:color="auto" w:fill="auto"/>
            <w:tcMar>
              <w:top w:w="40" w:type="dxa"/>
              <w:bottom w:w="40" w:type="dxa"/>
              <w:right w:w="40" w:type="dxa"/>
            </w:tcMar>
            <w:vAlign w:val="bottom"/>
          </w:tcPr>
          <w:p w14:paraId="3750EC7C"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3750EC7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EC7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bottom w:val="single" w:sz="8" w:space="0" w:color="333333"/>
            </w:tcBorders>
            <w:shd w:val="clear" w:color="auto" w:fill="auto"/>
            <w:vAlign w:val="bottom"/>
          </w:tcPr>
          <w:p w14:paraId="3750EC7F" w14:textId="77777777" w:rsidR="002541AD" w:rsidRDefault="002541AD">
            <w:pPr>
              <w:textAlignment w:val="bottom"/>
              <w:rPr>
                <w:rFonts w:ascii="Times New Roman" w:hAnsi="Times New Roman"/>
                <w:sz w:val="20"/>
                <w:szCs w:val="20"/>
              </w:rPr>
            </w:pPr>
          </w:p>
        </w:tc>
      </w:tr>
      <w:tr w:rsidR="002541AD" w14:paraId="3750EC9A" w14:textId="77777777">
        <w:tc>
          <w:tcPr>
            <w:tcW w:w="0" w:type="auto"/>
            <w:shd w:val="clear" w:color="auto" w:fill="auto"/>
            <w:tcMar>
              <w:top w:w="40" w:type="dxa"/>
              <w:left w:w="40" w:type="dxa"/>
              <w:bottom w:w="40" w:type="dxa"/>
              <w:right w:w="40" w:type="dxa"/>
            </w:tcMar>
            <w:vAlign w:val="bottom"/>
          </w:tcPr>
          <w:p w14:paraId="3750EC81"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Total assets</w:t>
            </w:r>
          </w:p>
        </w:tc>
        <w:tc>
          <w:tcPr>
            <w:tcW w:w="0" w:type="auto"/>
            <w:shd w:val="clear" w:color="auto" w:fill="auto"/>
            <w:tcMar>
              <w:top w:w="40" w:type="dxa"/>
              <w:left w:w="40" w:type="dxa"/>
              <w:bottom w:w="40" w:type="dxa"/>
              <w:right w:w="40" w:type="dxa"/>
            </w:tcMar>
            <w:vAlign w:val="bottom"/>
          </w:tcPr>
          <w:p w14:paraId="3750EC8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C83"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C84"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2,824</w:t>
            </w:r>
          </w:p>
        </w:tc>
        <w:tc>
          <w:tcPr>
            <w:tcW w:w="0" w:type="auto"/>
            <w:tcBorders>
              <w:top w:val="single" w:sz="8" w:space="0" w:color="333333"/>
              <w:bottom w:val="double" w:sz="6" w:space="0" w:color="333333"/>
            </w:tcBorders>
            <w:shd w:val="clear" w:color="auto" w:fill="auto"/>
            <w:vAlign w:val="bottom"/>
          </w:tcPr>
          <w:p w14:paraId="3750EC8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C8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C87"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C88"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vAlign w:val="bottom"/>
          </w:tcPr>
          <w:p w14:paraId="3750EC89"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C8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C8B"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C8C"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2,824</w:t>
            </w:r>
          </w:p>
        </w:tc>
        <w:tc>
          <w:tcPr>
            <w:tcW w:w="0" w:type="auto"/>
            <w:tcBorders>
              <w:top w:val="single" w:sz="8" w:space="0" w:color="333333"/>
              <w:bottom w:val="double" w:sz="6" w:space="0" w:color="333333"/>
            </w:tcBorders>
            <w:shd w:val="clear" w:color="auto" w:fill="auto"/>
            <w:vAlign w:val="bottom"/>
          </w:tcPr>
          <w:p w14:paraId="3750EC8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C8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C8F"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C90"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(144</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EC91"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3750EC9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C93"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C94"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(2,658</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EC95"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3750EC9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C97"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C98"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22</w:t>
            </w:r>
          </w:p>
        </w:tc>
        <w:tc>
          <w:tcPr>
            <w:tcW w:w="0" w:type="auto"/>
            <w:tcBorders>
              <w:top w:val="single" w:sz="8" w:space="0" w:color="333333"/>
              <w:bottom w:val="double" w:sz="6" w:space="0" w:color="333333"/>
            </w:tcBorders>
            <w:shd w:val="clear" w:color="auto" w:fill="auto"/>
            <w:vAlign w:val="bottom"/>
          </w:tcPr>
          <w:p w14:paraId="3750EC99" w14:textId="77777777" w:rsidR="002541AD" w:rsidRDefault="002541AD">
            <w:pPr>
              <w:textAlignment w:val="bottom"/>
              <w:rPr>
                <w:rFonts w:ascii="Times New Roman" w:hAnsi="Times New Roman"/>
                <w:sz w:val="20"/>
                <w:szCs w:val="20"/>
              </w:rPr>
            </w:pPr>
          </w:p>
        </w:tc>
      </w:tr>
      <w:tr w:rsidR="002541AD" w14:paraId="3750ECA8" w14:textId="77777777">
        <w:tc>
          <w:tcPr>
            <w:tcW w:w="0" w:type="auto"/>
            <w:shd w:val="clear" w:color="auto" w:fill="auto"/>
            <w:tcMar>
              <w:top w:w="40" w:type="dxa"/>
              <w:left w:w="40" w:type="dxa"/>
              <w:bottom w:w="40" w:type="dxa"/>
              <w:right w:w="40" w:type="dxa"/>
            </w:tcMar>
            <w:vAlign w:val="bottom"/>
          </w:tcPr>
          <w:p w14:paraId="3750EC9B" w14:textId="77777777" w:rsidR="002541AD" w:rsidRDefault="00901AA6">
            <w:pPr>
              <w:ind w:hanging="240"/>
              <w:textAlignment w:val="bottom"/>
              <w:rPr>
                <w:rFonts w:ascii="Times New Roman" w:hAnsi="Times New Roman"/>
                <w:sz w:val="18"/>
                <w:szCs w:val="18"/>
              </w:rPr>
            </w:pPr>
            <w:r>
              <w:rPr>
                <w:rFonts w:ascii="Arial" w:eastAsia="宋体" w:hAnsi="Arial" w:cs="Arial"/>
                <w:color w:val="333333"/>
                <w:sz w:val="18"/>
                <w:szCs w:val="18"/>
              </w:rPr>
              <w:t>Liabilities:</w:t>
            </w:r>
          </w:p>
        </w:tc>
        <w:tc>
          <w:tcPr>
            <w:tcW w:w="0" w:type="auto"/>
            <w:shd w:val="clear" w:color="auto" w:fill="auto"/>
            <w:tcMar>
              <w:top w:w="40" w:type="dxa"/>
              <w:left w:w="40" w:type="dxa"/>
              <w:bottom w:w="40" w:type="dxa"/>
              <w:right w:w="40" w:type="dxa"/>
            </w:tcMar>
            <w:vAlign w:val="bottom"/>
          </w:tcPr>
          <w:p w14:paraId="3750EC9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C9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C9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C9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CA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CA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CA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CA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CA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CA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CA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CA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CC2" w14:textId="77777777">
        <w:tc>
          <w:tcPr>
            <w:tcW w:w="0" w:type="auto"/>
            <w:shd w:val="clear" w:color="auto" w:fill="auto"/>
            <w:tcMar>
              <w:top w:w="40" w:type="dxa"/>
              <w:left w:w="240" w:type="dxa"/>
              <w:bottom w:w="40" w:type="dxa"/>
              <w:right w:w="40" w:type="dxa"/>
            </w:tcMar>
          </w:tcPr>
          <w:p w14:paraId="3750ECA9"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 xml:space="preserve">Derivative liabilities subject to master netting </w:t>
            </w:r>
            <w:r>
              <w:rPr>
                <w:rFonts w:ascii="Arial" w:eastAsia="宋体" w:hAnsi="Arial" w:cs="Arial"/>
                <w:color w:val="333333"/>
                <w:sz w:val="18"/>
                <w:szCs w:val="18"/>
              </w:rPr>
              <w:t>arrangements</w:t>
            </w:r>
          </w:p>
        </w:tc>
        <w:tc>
          <w:tcPr>
            <w:tcW w:w="0" w:type="auto"/>
            <w:shd w:val="clear" w:color="auto" w:fill="auto"/>
            <w:tcMar>
              <w:top w:w="40" w:type="dxa"/>
              <w:left w:w="40" w:type="dxa"/>
              <w:bottom w:w="40" w:type="dxa"/>
              <w:right w:w="40" w:type="dxa"/>
            </w:tcMar>
            <w:vAlign w:val="bottom"/>
          </w:tcPr>
          <w:p w14:paraId="3750ECA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CAB"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CA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262</w:t>
            </w:r>
          </w:p>
        </w:tc>
        <w:tc>
          <w:tcPr>
            <w:tcW w:w="0" w:type="auto"/>
            <w:shd w:val="clear" w:color="auto" w:fill="auto"/>
            <w:vAlign w:val="bottom"/>
          </w:tcPr>
          <w:p w14:paraId="3750ECAD"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CA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CAF"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CB0"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ECB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CB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tcMar>
            <w:vAlign w:val="bottom"/>
          </w:tcPr>
          <w:p w14:paraId="3750ECB3"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bottom w:val="single" w:sz="8" w:space="0" w:color="333333"/>
            </w:tcBorders>
            <w:shd w:val="clear" w:color="auto" w:fill="auto"/>
            <w:tcMar>
              <w:top w:w="40" w:type="dxa"/>
              <w:bottom w:w="40" w:type="dxa"/>
            </w:tcMar>
            <w:vAlign w:val="bottom"/>
          </w:tcPr>
          <w:p w14:paraId="3750ECB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262</w:t>
            </w:r>
          </w:p>
        </w:tc>
        <w:tc>
          <w:tcPr>
            <w:tcW w:w="0" w:type="auto"/>
            <w:tcBorders>
              <w:bottom w:val="single" w:sz="8" w:space="0" w:color="333333"/>
            </w:tcBorders>
            <w:shd w:val="clear" w:color="auto" w:fill="auto"/>
            <w:vAlign w:val="bottom"/>
          </w:tcPr>
          <w:p w14:paraId="3750ECB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CB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CB7"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CB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(144</w:t>
            </w:r>
          </w:p>
        </w:tc>
        <w:tc>
          <w:tcPr>
            <w:tcW w:w="0" w:type="auto"/>
            <w:shd w:val="clear" w:color="auto" w:fill="auto"/>
            <w:tcMar>
              <w:top w:w="40" w:type="dxa"/>
              <w:bottom w:w="40" w:type="dxa"/>
              <w:right w:w="40" w:type="dxa"/>
            </w:tcMar>
            <w:vAlign w:val="bottom"/>
          </w:tcPr>
          <w:p w14:paraId="3750ECB9"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3750ECB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CBB"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CB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(72</w:t>
            </w:r>
          </w:p>
        </w:tc>
        <w:tc>
          <w:tcPr>
            <w:tcW w:w="0" w:type="auto"/>
            <w:shd w:val="clear" w:color="auto" w:fill="auto"/>
            <w:tcMar>
              <w:top w:w="40" w:type="dxa"/>
              <w:bottom w:w="40" w:type="dxa"/>
              <w:right w:w="40" w:type="dxa"/>
            </w:tcMar>
            <w:vAlign w:val="bottom"/>
          </w:tcPr>
          <w:p w14:paraId="3750ECBD"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3750ECB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tcMar>
            <w:vAlign w:val="bottom"/>
          </w:tcPr>
          <w:p w14:paraId="3750ECBF"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bottom w:val="single" w:sz="8" w:space="0" w:color="333333"/>
            </w:tcBorders>
            <w:shd w:val="clear" w:color="auto" w:fill="auto"/>
            <w:tcMar>
              <w:top w:w="40" w:type="dxa"/>
              <w:bottom w:w="40" w:type="dxa"/>
            </w:tcMar>
            <w:vAlign w:val="bottom"/>
          </w:tcPr>
          <w:p w14:paraId="3750ECC0"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46</w:t>
            </w:r>
          </w:p>
        </w:tc>
        <w:tc>
          <w:tcPr>
            <w:tcW w:w="0" w:type="auto"/>
            <w:tcBorders>
              <w:bottom w:val="single" w:sz="8" w:space="0" w:color="333333"/>
            </w:tcBorders>
            <w:shd w:val="clear" w:color="auto" w:fill="auto"/>
            <w:vAlign w:val="bottom"/>
          </w:tcPr>
          <w:p w14:paraId="3750ECC1" w14:textId="77777777" w:rsidR="002541AD" w:rsidRDefault="002541AD">
            <w:pPr>
              <w:textAlignment w:val="bottom"/>
              <w:rPr>
                <w:rFonts w:ascii="Times New Roman" w:hAnsi="Times New Roman"/>
                <w:sz w:val="20"/>
                <w:szCs w:val="20"/>
              </w:rPr>
            </w:pPr>
          </w:p>
        </w:tc>
      </w:tr>
      <w:tr w:rsidR="002541AD" w14:paraId="3750ECDC" w14:textId="77777777">
        <w:tc>
          <w:tcPr>
            <w:tcW w:w="0" w:type="auto"/>
            <w:shd w:val="clear" w:color="auto" w:fill="auto"/>
            <w:tcMar>
              <w:top w:w="40" w:type="dxa"/>
              <w:left w:w="40" w:type="dxa"/>
              <w:bottom w:w="40" w:type="dxa"/>
              <w:right w:w="40" w:type="dxa"/>
            </w:tcMar>
            <w:vAlign w:val="bottom"/>
          </w:tcPr>
          <w:p w14:paraId="3750ECC3"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Total liabilities</w:t>
            </w:r>
          </w:p>
        </w:tc>
        <w:tc>
          <w:tcPr>
            <w:tcW w:w="0" w:type="auto"/>
            <w:shd w:val="clear" w:color="auto" w:fill="auto"/>
            <w:tcMar>
              <w:top w:w="40" w:type="dxa"/>
              <w:left w:w="40" w:type="dxa"/>
              <w:bottom w:w="40" w:type="dxa"/>
              <w:right w:w="40" w:type="dxa"/>
            </w:tcMar>
            <w:vAlign w:val="bottom"/>
          </w:tcPr>
          <w:p w14:paraId="3750ECC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CC5"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CC6"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262</w:t>
            </w:r>
          </w:p>
        </w:tc>
        <w:tc>
          <w:tcPr>
            <w:tcW w:w="0" w:type="auto"/>
            <w:tcBorders>
              <w:top w:val="single" w:sz="8" w:space="0" w:color="333333"/>
              <w:bottom w:val="double" w:sz="6" w:space="0" w:color="333333"/>
            </w:tcBorders>
            <w:shd w:val="clear" w:color="auto" w:fill="auto"/>
            <w:vAlign w:val="bottom"/>
          </w:tcPr>
          <w:p w14:paraId="3750ECC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CC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CC9"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CCA"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vAlign w:val="bottom"/>
          </w:tcPr>
          <w:p w14:paraId="3750ECC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CC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CCD"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CCE"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262</w:t>
            </w:r>
          </w:p>
        </w:tc>
        <w:tc>
          <w:tcPr>
            <w:tcW w:w="0" w:type="auto"/>
            <w:tcBorders>
              <w:top w:val="single" w:sz="8" w:space="0" w:color="333333"/>
              <w:bottom w:val="double" w:sz="6" w:space="0" w:color="333333"/>
            </w:tcBorders>
            <w:shd w:val="clear" w:color="auto" w:fill="auto"/>
            <w:vAlign w:val="bottom"/>
          </w:tcPr>
          <w:p w14:paraId="3750ECC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CD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CD1"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CD2"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(144</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ECD3"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3750ECD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CD5"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CD6"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(72</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ECD7"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3750ECD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CD9"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CDA"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46</w:t>
            </w:r>
          </w:p>
        </w:tc>
        <w:tc>
          <w:tcPr>
            <w:tcW w:w="0" w:type="auto"/>
            <w:tcBorders>
              <w:top w:val="single" w:sz="8" w:space="0" w:color="333333"/>
              <w:bottom w:val="double" w:sz="6" w:space="0" w:color="333333"/>
            </w:tcBorders>
            <w:shd w:val="clear" w:color="auto" w:fill="auto"/>
            <w:vAlign w:val="bottom"/>
          </w:tcPr>
          <w:p w14:paraId="3750ECDB" w14:textId="77777777" w:rsidR="002541AD" w:rsidRDefault="002541AD">
            <w:pPr>
              <w:textAlignment w:val="bottom"/>
              <w:rPr>
                <w:rFonts w:ascii="Times New Roman" w:hAnsi="Times New Roman"/>
                <w:sz w:val="20"/>
                <w:szCs w:val="20"/>
              </w:rPr>
            </w:pPr>
          </w:p>
        </w:tc>
      </w:tr>
    </w:tbl>
    <w:p w14:paraId="3750ECDD" w14:textId="77777777" w:rsidR="002541AD" w:rsidRDefault="002541AD">
      <w:pPr>
        <w:spacing w:line="288" w:lineRule="auto"/>
        <w:rPr>
          <w:rFonts w:ascii="Times New Roman" w:hAnsi="Times New Roman"/>
          <w:sz w:val="20"/>
          <w:szCs w:val="20"/>
        </w:rPr>
      </w:pPr>
    </w:p>
    <w:p w14:paraId="3750ECDE"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We obtain and secure available collateral from counterparties against obligations, including securitie</w:t>
      </w:r>
      <w:r>
        <w:rPr>
          <w:rFonts w:ascii="Arial" w:eastAsia="宋体" w:hAnsi="Arial" w:cs="Arial"/>
          <w:color w:val="333333"/>
          <w:sz w:val="18"/>
          <w:szCs w:val="18"/>
        </w:rPr>
        <w:t>s lending transactions and reverse repurchase agreements, when we deem it appropriate.</w:t>
      </w:r>
    </w:p>
    <w:p w14:paraId="3750ECDF" w14:textId="77777777" w:rsidR="002541AD" w:rsidRDefault="00901AA6">
      <w:pPr>
        <w:spacing w:line="288" w:lineRule="auto"/>
        <w:rPr>
          <w:rFonts w:ascii="Times New Roman" w:hAnsi="Times New Roman"/>
        </w:rPr>
      </w:pPr>
      <w:r>
        <w:rPr>
          <w:rFonts w:ascii="Arial" w:eastAsia="宋体" w:hAnsi="Arial" w:cs="Arial"/>
          <w:b/>
          <w:bCs/>
          <w:color w:val="0071C5"/>
        </w:rPr>
        <w:t>DERIVATIVES IN CASH FLOW HEDGING RELATIONSHIPS</w:t>
      </w:r>
    </w:p>
    <w:p w14:paraId="3750ECE0"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The before-tax net gains or losses attributed to cash flow hedges, recognized in other comprehensive income (loss), were $</w:t>
      </w:r>
      <w:r>
        <w:rPr>
          <w:rFonts w:ascii="Arial" w:eastAsia="宋体" w:hAnsi="Arial" w:cs="Arial"/>
          <w:color w:val="333333"/>
          <w:sz w:val="18"/>
          <w:szCs w:val="18"/>
        </w:rPr>
        <w:t>373 million net losses in the first three months of 2020 ($29 million net gains in the first three months of 2019). Substantially all of our cash flow hedges were foreign currency contracts for all periods presented.</w:t>
      </w:r>
    </w:p>
    <w:p w14:paraId="3750ECE1"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During the first three months of 2020 a</w:t>
      </w:r>
      <w:r>
        <w:rPr>
          <w:rFonts w:ascii="Arial" w:eastAsia="宋体" w:hAnsi="Arial" w:cs="Arial"/>
          <w:color w:val="333333"/>
          <w:sz w:val="18"/>
          <w:szCs w:val="18"/>
        </w:rPr>
        <w:t xml:space="preserve">nd 2019, the amounts excluded from effectiveness testing were insignificant. </w:t>
      </w:r>
    </w:p>
    <w:p w14:paraId="3750ECE2"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ECE4" w14:textId="77777777">
        <w:tc>
          <w:tcPr>
            <w:tcW w:w="0" w:type="auto"/>
            <w:gridSpan w:val="3"/>
            <w:shd w:val="clear" w:color="auto" w:fill="auto"/>
            <w:vAlign w:val="center"/>
          </w:tcPr>
          <w:p w14:paraId="3750ECE3" w14:textId="77777777" w:rsidR="002541AD" w:rsidRDefault="002541AD">
            <w:pPr>
              <w:rPr>
                <w:rFonts w:ascii="Times New Roman" w:hAnsi="Times New Roman"/>
                <w:sz w:val="20"/>
                <w:szCs w:val="20"/>
              </w:rPr>
            </w:pPr>
          </w:p>
        </w:tc>
      </w:tr>
      <w:tr w:rsidR="002541AD" w14:paraId="3750ECE8" w14:textId="77777777">
        <w:tc>
          <w:tcPr>
            <w:tcW w:w="1550" w:type="pct"/>
            <w:shd w:val="clear" w:color="auto" w:fill="auto"/>
            <w:vAlign w:val="center"/>
          </w:tcPr>
          <w:p w14:paraId="3750ECE5" w14:textId="77777777" w:rsidR="002541AD" w:rsidRDefault="002541AD">
            <w:pPr>
              <w:rPr>
                <w:rFonts w:ascii="Times New Roman" w:hAnsi="Times New Roman"/>
                <w:sz w:val="20"/>
                <w:szCs w:val="20"/>
              </w:rPr>
            </w:pPr>
          </w:p>
        </w:tc>
        <w:tc>
          <w:tcPr>
            <w:tcW w:w="2200" w:type="pct"/>
            <w:shd w:val="clear" w:color="auto" w:fill="auto"/>
            <w:vAlign w:val="center"/>
          </w:tcPr>
          <w:p w14:paraId="3750ECE6" w14:textId="77777777" w:rsidR="002541AD" w:rsidRDefault="002541AD">
            <w:pPr>
              <w:rPr>
                <w:rFonts w:ascii="Times New Roman" w:hAnsi="Times New Roman"/>
                <w:sz w:val="20"/>
                <w:szCs w:val="20"/>
              </w:rPr>
            </w:pPr>
          </w:p>
        </w:tc>
        <w:tc>
          <w:tcPr>
            <w:tcW w:w="1250" w:type="pct"/>
            <w:shd w:val="clear" w:color="auto" w:fill="auto"/>
            <w:vAlign w:val="center"/>
          </w:tcPr>
          <w:p w14:paraId="3750ECE7" w14:textId="77777777" w:rsidR="002541AD" w:rsidRDefault="002541AD">
            <w:pPr>
              <w:rPr>
                <w:rFonts w:ascii="Times New Roman" w:hAnsi="Times New Roman"/>
                <w:sz w:val="20"/>
                <w:szCs w:val="20"/>
              </w:rPr>
            </w:pPr>
          </w:p>
        </w:tc>
      </w:tr>
      <w:tr w:rsidR="002541AD" w14:paraId="3750ECEC" w14:textId="77777777">
        <w:tc>
          <w:tcPr>
            <w:tcW w:w="0" w:type="auto"/>
            <w:tcBorders>
              <w:top w:val="single" w:sz="8" w:space="0" w:color="0071C5"/>
              <w:right w:val="single" w:sz="24" w:space="0" w:color="0071C5"/>
            </w:tcBorders>
            <w:shd w:val="clear" w:color="auto" w:fill="auto"/>
            <w:tcMar>
              <w:top w:w="40" w:type="dxa"/>
              <w:left w:w="40" w:type="dxa"/>
              <w:bottom w:w="40" w:type="dxa"/>
              <w:right w:w="40" w:type="dxa"/>
            </w:tcMar>
            <w:vAlign w:val="center"/>
          </w:tcPr>
          <w:p w14:paraId="3750ECE9"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80" wp14:editId="3750F881">
                  <wp:extent cx="304800" cy="304800"/>
                  <wp:effectExtent l="0" t="0" r="0" b="0"/>
                  <wp:docPr id="108" name="图片 83"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83"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CEA"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CEB"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22</w:t>
            </w:r>
          </w:p>
        </w:tc>
      </w:tr>
    </w:tbl>
    <w:p w14:paraId="3750ECED" w14:textId="77777777" w:rsidR="002541AD" w:rsidRDefault="002541AD">
      <w:pPr>
        <w:spacing w:line="288" w:lineRule="auto"/>
        <w:rPr>
          <w:rFonts w:ascii="Times New Roman" w:hAnsi="Times New Roman"/>
          <w:sz w:val="18"/>
          <w:szCs w:val="18"/>
        </w:rPr>
      </w:pPr>
    </w:p>
    <w:p w14:paraId="3750ECEE" w14:textId="77777777" w:rsidR="002541AD" w:rsidRDefault="002541AD">
      <w:pPr>
        <w:spacing w:line="288" w:lineRule="auto"/>
        <w:rPr>
          <w:rFonts w:ascii="Times New Roman" w:hAnsi="Times New Roman"/>
          <w:sz w:val="18"/>
          <w:szCs w:val="18"/>
        </w:rPr>
      </w:pPr>
    </w:p>
    <w:p w14:paraId="3750ECEF" w14:textId="77777777" w:rsidR="002541AD" w:rsidRDefault="00901AA6">
      <w:r>
        <w:rPr>
          <w:rFonts w:ascii="Times New Roman" w:hAnsi="Times New Roman"/>
          <w:sz w:val="18"/>
          <w:szCs w:val="18"/>
        </w:rPr>
        <w:pict w14:anchorId="3750F882">
          <v:rect id="_x0000_i1048" style="width:415.3pt;height:1.5pt" o:hralign="center" o:hrstd="t" o:hr="t" fillcolor="#a0a0a0" stroked="f"/>
        </w:pict>
      </w:r>
    </w:p>
    <w:p w14:paraId="3750ECF0" w14:textId="77777777" w:rsidR="002541AD" w:rsidRDefault="00901AA6">
      <w:pPr>
        <w:spacing w:line="288" w:lineRule="auto"/>
        <w:jc w:val="right"/>
        <w:rPr>
          <w:rFonts w:ascii="Times New Roman" w:hAnsi="Times New Roman"/>
          <w:sz w:val="16"/>
          <w:szCs w:val="16"/>
        </w:rPr>
      </w:pPr>
      <w:hyperlink r:id="rId51" w:anchor="s2CABEAF4222C52B4A34547BF538A8C27" w:history="1">
        <w:r>
          <w:rPr>
            <w:rStyle w:val="a5"/>
            <w:rFonts w:ascii="Arial" w:eastAsia="宋体" w:hAnsi="Arial" w:cs="Arial"/>
            <w:b/>
            <w:bCs/>
            <w:sz w:val="16"/>
            <w:szCs w:val="16"/>
          </w:rPr>
          <w:t>Table of Contents</w:t>
        </w:r>
      </w:hyperlink>
    </w:p>
    <w:p w14:paraId="3750ECF1" w14:textId="77777777" w:rsidR="002541AD" w:rsidRDefault="002541AD">
      <w:pPr>
        <w:spacing w:line="288" w:lineRule="auto"/>
        <w:jc w:val="right"/>
        <w:rPr>
          <w:rFonts w:ascii="Times New Roman" w:hAnsi="Times New Roman"/>
          <w:sz w:val="18"/>
          <w:szCs w:val="18"/>
        </w:rPr>
      </w:pPr>
    </w:p>
    <w:p w14:paraId="3750ECF2" w14:textId="77777777" w:rsidR="002541AD" w:rsidRDefault="002541AD">
      <w:pPr>
        <w:rPr>
          <w:rFonts w:ascii="Times New Roman" w:hAnsi="Times New Roman"/>
          <w:sz w:val="20"/>
          <w:szCs w:val="20"/>
        </w:rPr>
      </w:pPr>
    </w:p>
    <w:p w14:paraId="3750ECF3" w14:textId="77777777" w:rsidR="002541AD" w:rsidRDefault="00901AA6">
      <w:pPr>
        <w:spacing w:line="288" w:lineRule="auto"/>
        <w:rPr>
          <w:rFonts w:ascii="Times New Roman" w:hAnsi="Times New Roman"/>
        </w:rPr>
      </w:pPr>
      <w:r>
        <w:rPr>
          <w:rFonts w:ascii="Arial" w:eastAsia="宋体" w:hAnsi="Arial" w:cs="Arial"/>
          <w:b/>
          <w:bCs/>
          <w:color w:val="0071C5"/>
        </w:rPr>
        <w:t>DERIVATIVES IN FAIR VALUE HEDGING RELATIONSHIPS</w:t>
      </w:r>
    </w:p>
    <w:p w14:paraId="3750ECF4"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The effects of </w:t>
      </w:r>
      <w:r>
        <w:rPr>
          <w:rFonts w:ascii="Arial" w:eastAsia="宋体" w:hAnsi="Arial" w:cs="Arial"/>
          <w:color w:val="333333"/>
          <w:sz w:val="18"/>
          <w:szCs w:val="18"/>
        </w:rPr>
        <w:t>derivative instruments designated as fair value hedges, recognized in interest and other, net for each period were as follows:</w:t>
      </w:r>
    </w:p>
    <w:tbl>
      <w:tblPr>
        <w:tblW w:w="4991" w:type="pct"/>
        <w:tblCellMar>
          <w:left w:w="0" w:type="dxa"/>
          <w:right w:w="0" w:type="dxa"/>
        </w:tblCellMar>
        <w:tblLook w:val="04A0" w:firstRow="1" w:lastRow="0" w:firstColumn="1" w:lastColumn="0" w:noHBand="0" w:noVBand="1"/>
      </w:tblPr>
      <w:tblGrid>
        <w:gridCol w:w="6052"/>
        <w:gridCol w:w="130"/>
        <w:gridCol w:w="142"/>
        <w:gridCol w:w="746"/>
        <w:gridCol w:w="101"/>
        <w:gridCol w:w="130"/>
        <w:gridCol w:w="142"/>
        <w:gridCol w:w="747"/>
        <w:gridCol w:w="101"/>
      </w:tblGrid>
      <w:tr w:rsidR="002541AD" w14:paraId="3750ECF6" w14:textId="77777777">
        <w:tc>
          <w:tcPr>
            <w:tcW w:w="0" w:type="auto"/>
            <w:gridSpan w:val="9"/>
            <w:shd w:val="clear" w:color="auto" w:fill="auto"/>
            <w:vAlign w:val="center"/>
          </w:tcPr>
          <w:p w14:paraId="3750ECF5" w14:textId="77777777" w:rsidR="002541AD" w:rsidRDefault="002541AD">
            <w:pPr>
              <w:rPr>
                <w:rFonts w:ascii="Times New Roman" w:hAnsi="Times New Roman"/>
                <w:sz w:val="20"/>
                <w:szCs w:val="20"/>
              </w:rPr>
            </w:pPr>
          </w:p>
        </w:tc>
      </w:tr>
      <w:tr w:rsidR="002541AD" w14:paraId="3750ED00" w14:textId="77777777">
        <w:tc>
          <w:tcPr>
            <w:tcW w:w="3700" w:type="pct"/>
            <w:shd w:val="clear" w:color="auto" w:fill="auto"/>
            <w:vAlign w:val="center"/>
          </w:tcPr>
          <w:p w14:paraId="3750ECF7" w14:textId="77777777" w:rsidR="002541AD" w:rsidRDefault="002541AD">
            <w:pPr>
              <w:rPr>
                <w:rFonts w:ascii="Times New Roman" w:hAnsi="Times New Roman"/>
                <w:sz w:val="20"/>
                <w:szCs w:val="20"/>
              </w:rPr>
            </w:pPr>
          </w:p>
        </w:tc>
        <w:tc>
          <w:tcPr>
            <w:tcW w:w="50" w:type="pct"/>
            <w:shd w:val="clear" w:color="auto" w:fill="auto"/>
            <w:vAlign w:val="center"/>
          </w:tcPr>
          <w:p w14:paraId="3750ECF8" w14:textId="77777777" w:rsidR="002541AD" w:rsidRDefault="002541AD">
            <w:pPr>
              <w:rPr>
                <w:rFonts w:ascii="Times New Roman" w:hAnsi="Times New Roman"/>
                <w:sz w:val="20"/>
                <w:szCs w:val="20"/>
              </w:rPr>
            </w:pPr>
          </w:p>
        </w:tc>
        <w:tc>
          <w:tcPr>
            <w:tcW w:w="50" w:type="pct"/>
            <w:shd w:val="clear" w:color="auto" w:fill="auto"/>
            <w:vAlign w:val="center"/>
          </w:tcPr>
          <w:p w14:paraId="3750ECF9" w14:textId="77777777" w:rsidR="002541AD" w:rsidRDefault="002541AD">
            <w:pPr>
              <w:rPr>
                <w:rFonts w:ascii="Times New Roman" w:hAnsi="Times New Roman"/>
                <w:sz w:val="20"/>
                <w:szCs w:val="20"/>
              </w:rPr>
            </w:pPr>
          </w:p>
        </w:tc>
        <w:tc>
          <w:tcPr>
            <w:tcW w:w="500" w:type="pct"/>
            <w:shd w:val="clear" w:color="auto" w:fill="auto"/>
            <w:vAlign w:val="center"/>
          </w:tcPr>
          <w:p w14:paraId="3750ECFA" w14:textId="77777777" w:rsidR="002541AD" w:rsidRDefault="002541AD">
            <w:pPr>
              <w:rPr>
                <w:rFonts w:ascii="Times New Roman" w:hAnsi="Times New Roman"/>
                <w:sz w:val="20"/>
                <w:szCs w:val="20"/>
              </w:rPr>
            </w:pPr>
          </w:p>
        </w:tc>
        <w:tc>
          <w:tcPr>
            <w:tcW w:w="50" w:type="pct"/>
            <w:shd w:val="clear" w:color="auto" w:fill="auto"/>
            <w:vAlign w:val="center"/>
          </w:tcPr>
          <w:p w14:paraId="3750ECFB" w14:textId="77777777" w:rsidR="002541AD" w:rsidRDefault="002541AD">
            <w:pPr>
              <w:rPr>
                <w:rFonts w:ascii="Times New Roman" w:hAnsi="Times New Roman"/>
                <w:sz w:val="20"/>
                <w:szCs w:val="20"/>
              </w:rPr>
            </w:pPr>
          </w:p>
        </w:tc>
        <w:tc>
          <w:tcPr>
            <w:tcW w:w="50" w:type="pct"/>
            <w:shd w:val="clear" w:color="auto" w:fill="auto"/>
            <w:vAlign w:val="center"/>
          </w:tcPr>
          <w:p w14:paraId="3750ECFC" w14:textId="77777777" w:rsidR="002541AD" w:rsidRDefault="002541AD">
            <w:pPr>
              <w:rPr>
                <w:rFonts w:ascii="Times New Roman" w:hAnsi="Times New Roman"/>
                <w:sz w:val="20"/>
                <w:szCs w:val="20"/>
              </w:rPr>
            </w:pPr>
          </w:p>
        </w:tc>
        <w:tc>
          <w:tcPr>
            <w:tcW w:w="50" w:type="pct"/>
            <w:shd w:val="clear" w:color="auto" w:fill="auto"/>
            <w:vAlign w:val="center"/>
          </w:tcPr>
          <w:p w14:paraId="3750ECFD" w14:textId="77777777" w:rsidR="002541AD" w:rsidRDefault="002541AD">
            <w:pPr>
              <w:rPr>
                <w:rFonts w:ascii="Times New Roman" w:hAnsi="Times New Roman"/>
                <w:sz w:val="20"/>
                <w:szCs w:val="20"/>
              </w:rPr>
            </w:pPr>
          </w:p>
        </w:tc>
        <w:tc>
          <w:tcPr>
            <w:tcW w:w="500" w:type="pct"/>
            <w:shd w:val="clear" w:color="auto" w:fill="auto"/>
            <w:vAlign w:val="center"/>
          </w:tcPr>
          <w:p w14:paraId="3750ECFE" w14:textId="77777777" w:rsidR="002541AD" w:rsidRDefault="002541AD">
            <w:pPr>
              <w:rPr>
                <w:rFonts w:ascii="Times New Roman" w:hAnsi="Times New Roman"/>
                <w:sz w:val="20"/>
                <w:szCs w:val="20"/>
              </w:rPr>
            </w:pPr>
          </w:p>
        </w:tc>
        <w:tc>
          <w:tcPr>
            <w:tcW w:w="50" w:type="pct"/>
            <w:shd w:val="clear" w:color="auto" w:fill="auto"/>
            <w:vAlign w:val="center"/>
          </w:tcPr>
          <w:p w14:paraId="3750ECFF" w14:textId="77777777" w:rsidR="002541AD" w:rsidRDefault="002541AD">
            <w:pPr>
              <w:rPr>
                <w:rFonts w:ascii="Times New Roman" w:hAnsi="Times New Roman"/>
                <w:sz w:val="20"/>
                <w:szCs w:val="20"/>
              </w:rPr>
            </w:pPr>
          </w:p>
        </w:tc>
      </w:tr>
      <w:tr w:rsidR="002541AD" w14:paraId="3750ED04" w14:textId="77777777">
        <w:tc>
          <w:tcPr>
            <w:tcW w:w="0" w:type="auto"/>
            <w:shd w:val="clear" w:color="auto" w:fill="auto"/>
            <w:tcMar>
              <w:top w:w="40" w:type="dxa"/>
              <w:left w:w="40" w:type="dxa"/>
              <w:bottom w:w="40" w:type="dxa"/>
              <w:right w:w="40" w:type="dxa"/>
            </w:tcMar>
            <w:vAlign w:val="bottom"/>
          </w:tcPr>
          <w:p w14:paraId="3750ED0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D0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3750ED03"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Gains (Losses) Recognized in Consolidated Condensed Statements of Income on Derivatives</w:t>
            </w:r>
          </w:p>
        </w:tc>
      </w:tr>
      <w:tr w:rsidR="002541AD" w14:paraId="3750ED0B"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D05"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Three Months Ended</w:t>
            </w:r>
          </w:p>
          <w:p w14:paraId="3750ED06"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ED0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D08"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c>
          <w:tcPr>
            <w:tcW w:w="0" w:type="auto"/>
            <w:shd w:val="clear" w:color="auto" w:fill="auto"/>
            <w:tcMar>
              <w:top w:w="40" w:type="dxa"/>
              <w:left w:w="40" w:type="dxa"/>
              <w:bottom w:w="40" w:type="dxa"/>
              <w:right w:w="40" w:type="dxa"/>
            </w:tcMar>
            <w:vAlign w:val="bottom"/>
          </w:tcPr>
          <w:p w14:paraId="3750ED0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D0A"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30, </w:t>
            </w:r>
            <w:r>
              <w:rPr>
                <w:rFonts w:ascii="Arial" w:eastAsia="宋体" w:hAnsi="Arial" w:cs="Arial"/>
                <w:b/>
                <w:bCs/>
                <w:color w:val="333333"/>
                <w:sz w:val="18"/>
                <w:szCs w:val="18"/>
              </w:rPr>
              <w:br/>
              <w:t>2019</w:t>
            </w:r>
          </w:p>
        </w:tc>
      </w:tr>
      <w:tr w:rsidR="002541AD" w14:paraId="3750ED15" w14:textId="77777777">
        <w:tc>
          <w:tcPr>
            <w:tcW w:w="0" w:type="auto"/>
            <w:shd w:val="clear" w:color="auto" w:fill="auto"/>
            <w:tcMar>
              <w:top w:w="40" w:type="dxa"/>
              <w:left w:w="40" w:type="dxa"/>
              <w:bottom w:w="40" w:type="dxa"/>
              <w:right w:w="40" w:type="dxa"/>
            </w:tcMar>
          </w:tcPr>
          <w:p w14:paraId="3750ED0C"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Interest rate contracts</w:t>
            </w:r>
          </w:p>
        </w:tc>
        <w:tc>
          <w:tcPr>
            <w:tcW w:w="0" w:type="auto"/>
            <w:shd w:val="clear" w:color="auto" w:fill="auto"/>
            <w:tcMar>
              <w:top w:w="40" w:type="dxa"/>
              <w:left w:w="40" w:type="dxa"/>
              <w:bottom w:w="40" w:type="dxa"/>
              <w:right w:w="40" w:type="dxa"/>
            </w:tcMar>
            <w:vAlign w:val="bottom"/>
          </w:tcPr>
          <w:p w14:paraId="3750ED0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D0E"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D0F"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954</w:t>
            </w:r>
          </w:p>
        </w:tc>
        <w:tc>
          <w:tcPr>
            <w:tcW w:w="0" w:type="auto"/>
            <w:shd w:val="clear" w:color="auto" w:fill="auto"/>
            <w:vAlign w:val="bottom"/>
          </w:tcPr>
          <w:p w14:paraId="3750ED1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D1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D12"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D13"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485</w:t>
            </w:r>
          </w:p>
        </w:tc>
        <w:tc>
          <w:tcPr>
            <w:tcW w:w="0" w:type="auto"/>
            <w:shd w:val="clear" w:color="auto" w:fill="auto"/>
            <w:vAlign w:val="bottom"/>
          </w:tcPr>
          <w:p w14:paraId="3750ED14" w14:textId="77777777" w:rsidR="002541AD" w:rsidRDefault="002541AD">
            <w:pPr>
              <w:textAlignment w:val="bottom"/>
              <w:rPr>
                <w:rFonts w:ascii="Times New Roman" w:hAnsi="Times New Roman"/>
                <w:sz w:val="20"/>
                <w:szCs w:val="20"/>
              </w:rPr>
            </w:pPr>
          </w:p>
        </w:tc>
      </w:tr>
      <w:tr w:rsidR="002541AD" w14:paraId="3750ED1D" w14:textId="77777777">
        <w:tc>
          <w:tcPr>
            <w:tcW w:w="0" w:type="auto"/>
            <w:shd w:val="clear" w:color="auto" w:fill="auto"/>
            <w:tcMar>
              <w:top w:w="40" w:type="dxa"/>
              <w:left w:w="40" w:type="dxa"/>
              <w:bottom w:w="40" w:type="dxa"/>
              <w:right w:w="40" w:type="dxa"/>
            </w:tcMar>
            <w:vAlign w:val="bottom"/>
          </w:tcPr>
          <w:p w14:paraId="3750ED16"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Hedged items</w:t>
            </w:r>
          </w:p>
        </w:tc>
        <w:tc>
          <w:tcPr>
            <w:tcW w:w="0" w:type="auto"/>
            <w:shd w:val="clear" w:color="auto" w:fill="auto"/>
            <w:tcMar>
              <w:top w:w="40" w:type="dxa"/>
              <w:left w:w="40" w:type="dxa"/>
              <w:bottom w:w="40" w:type="dxa"/>
              <w:right w:w="40" w:type="dxa"/>
            </w:tcMar>
            <w:vAlign w:val="bottom"/>
          </w:tcPr>
          <w:p w14:paraId="3750ED1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D18"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(954</w:t>
            </w:r>
          </w:p>
        </w:tc>
        <w:tc>
          <w:tcPr>
            <w:tcW w:w="0" w:type="auto"/>
            <w:shd w:val="clear" w:color="auto" w:fill="auto"/>
            <w:tcMar>
              <w:top w:w="40" w:type="dxa"/>
              <w:bottom w:w="40" w:type="dxa"/>
              <w:right w:w="40" w:type="dxa"/>
            </w:tcMar>
            <w:vAlign w:val="bottom"/>
          </w:tcPr>
          <w:p w14:paraId="3750ED19"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D1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D1B"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(485</w:t>
            </w:r>
          </w:p>
        </w:tc>
        <w:tc>
          <w:tcPr>
            <w:tcW w:w="0" w:type="auto"/>
            <w:shd w:val="clear" w:color="auto" w:fill="auto"/>
            <w:tcMar>
              <w:top w:w="40" w:type="dxa"/>
              <w:bottom w:w="40" w:type="dxa"/>
              <w:right w:w="40" w:type="dxa"/>
            </w:tcMar>
            <w:vAlign w:val="bottom"/>
          </w:tcPr>
          <w:p w14:paraId="3750ED1C"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ED27" w14:textId="77777777">
        <w:tc>
          <w:tcPr>
            <w:tcW w:w="0" w:type="auto"/>
            <w:shd w:val="clear" w:color="auto" w:fill="auto"/>
            <w:tcMar>
              <w:top w:w="40" w:type="dxa"/>
              <w:left w:w="40" w:type="dxa"/>
              <w:bottom w:w="40" w:type="dxa"/>
              <w:right w:w="40" w:type="dxa"/>
            </w:tcMar>
          </w:tcPr>
          <w:p w14:paraId="3750ED1E"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Total</w:t>
            </w:r>
          </w:p>
        </w:tc>
        <w:tc>
          <w:tcPr>
            <w:tcW w:w="0" w:type="auto"/>
            <w:shd w:val="clear" w:color="auto" w:fill="auto"/>
            <w:tcMar>
              <w:top w:w="40" w:type="dxa"/>
              <w:left w:w="40" w:type="dxa"/>
              <w:bottom w:w="40" w:type="dxa"/>
              <w:right w:w="40" w:type="dxa"/>
            </w:tcMar>
            <w:vAlign w:val="bottom"/>
          </w:tcPr>
          <w:p w14:paraId="3750ED1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D20"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D21"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vAlign w:val="bottom"/>
          </w:tcPr>
          <w:p w14:paraId="3750ED2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D2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D24"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D25"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vAlign w:val="bottom"/>
          </w:tcPr>
          <w:p w14:paraId="3750ED26" w14:textId="77777777" w:rsidR="002541AD" w:rsidRDefault="002541AD">
            <w:pPr>
              <w:textAlignment w:val="bottom"/>
              <w:rPr>
                <w:rFonts w:ascii="Times New Roman" w:hAnsi="Times New Roman"/>
                <w:sz w:val="20"/>
                <w:szCs w:val="20"/>
              </w:rPr>
            </w:pPr>
          </w:p>
        </w:tc>
      </w:tr>
    </w:tbl>
    <w:p w14:paraId="3750ED28" w14:textId="77777777" w:rsidR="002541AD" w:rsidRDefault="002541AD">
      <w:pPr>
        <w:spacing w:line="288" w:lineRule="auto"/>
        <w:rPr>
          <w:rFonts w:ascii="Times New Roman" w:hAnsi="Times New Roman"/>
          <w:sz w:val="20"/>
          <w:szCs w:val="20"/>
        </w:rPr>
      </w:pPr>
    </w:p>
    <w:p w14:paraId="3750ED29" w14:textId="77777777" w:rsidR="002541AD" w:rsidRDefault="00901AA6">
      <w:pPr>
        <w:spacing w:line="288" w:lineRule="auto"/>
        <w:rPr>
          <w:rFonts w:ascii="Times New Roman" w:hAnsi="Times New Roman"/>
          <w:sz w:val="20"/>
          <w:szCs w:val="20"/>
        </w:rPr>
      </w:pPr>
      <w:r>
        <w:rPr>
          <w:rFonts w:ascii="Arial" w:eastAsia="宋体" w:hAnsi="Arial" w:cs="Arial"/>
          <w:color w:val="333333"/>
          <w:sz w:val="18"/>
          <w:szCs w:val="18"/>
        </w:rPr>
        <w:t xml:space="preserve">The amounts recorded on the Consolidated Condensed Balance Sheets related to cumulative basis </w:t>
      </w:r>
      <w:r>
        <w:rPr>
          <w:rFonts w:ascii="Arial" w:eastAsia="宋体" w:hAnsi="Arial" w:cs="Arial"/>
          <w:color w:val="333333"/>
          <w:sz w:val="18"/>
          <w:szCs w:val="18"/>
        </w:rPr>
        <w:t>adjustments for fair value hedges for each period were as follows:</w:t>
      </w:r>
    </w:p>
    <w:tbl>
      <w:tblPr>
        <w:tblW w:w="5000" w:type="pct"/>
        <w:tblCellMar>
          <w:left w:w="0" w:type="dxa"/>
          <w:right w:w="0" w:type="dxa"/>
        </w:tblCellMar>
        <w:tblLook w:val="04A0" w:firstRow="1" w:lastRow="0" w:firstColumn="1" w:lastColumn="0" w:noHBand="0" w:noVBand="1"/>
      </w:tblPr>
      <w:tblGrid>
        <w:gridCol w:w="3889"/>
        <w:gridCol w:w="130"/>
        <w:gridCol w:w="141"/>
        <w:gridCol w:w="733"/>
        <w:gridCol w:w="100"/>
        <w:gridCol w:w="130"/>
        <w:gridCol w:w="141"/>
        <w:gridCol w:w="733"/>
        <w:gridCol w:w="100"/>
        <w:gridCol w:w="130"/>
        <w:gridCol w:w="142"/>
        <w:gridCol w:w="733"/>
        <w:gridCol w:w="100"/>
        <w:gridCol w:w="130"/>
        <w:gridCol w:w="141"/>
        <w:gridCol w:w="733"/>
        <w:gridCol w:w="100"/>
      </w:tblGrid>
      <w:tr w:rsidR="002541AD" w14:paraId="3750ED2B" w14:textId="77777777">
        <w:tc>
          <w:tcPr>
            <w:tcW w:w="0" w:type="auto"/>
            <w:gridSpan w:val="17"/>
            <w:shd w:val="clear" w:color="auto" w:fill="auto"/>
            <w:vAlign w:val="center"/>
          </w:tcPr>
          <w:p w14:paraId="3750ED2A" w14:textId="77777777" w:rsidR="002541AD" w:rsidRDefault="002541AD">
            <w:pPr>
              <w:rPr>
                <w:rFonts w:ascii="Times New Roman" w:hAnsi="Times New Roman"/>
                <w:sz w:val="20"/>
                <w:szCs w:val="20"/>
              </w:rPr>
            </w:pPr>
          </w:p>
        </w:tc>
      </w:tr>
      <w:tr w:rsidR="002541AD" w14:paraId="3750ED3D" w14:textId="77777777">
        <w:tc>
          <w:tcPr>
            <w:tcW w:w="2400" w:type="pct"/>
            <w:shd w:val="clear" w:color="auto" w:fill="auto"/>
            <w:vAlign w:val="center"/>
          </w:tcPr>
          <w:p w14:paraId="3750ED2C" w14:textId="77777777" w:rsidR="002541AD" w:rsidRDefault="002541AD">
            <w:pPr>
              <w:rPr>
                <w:rFonts w:ascii="Times New Roman" w:hAnsi="Times New Roman"/>
                <w:sz w:val="20"/>
                <w:szCs w:val="20"/>
              </w:rPr>
            </w:pPr>
          </w:p>
        </w:tc>
        <w:tc>
          <w:tcPr>
            <w:tcW w:w="50" w:type="pct"/>
            <w:shd w:val="clear" w:color="auto" w:fill="auto"/>
            <w:vAlign w:val="center"/>
          </w:tcPr>
          <w:p w14:paraId="3750ED2D" w14:textId="77777777" w:rsidR="002541AD" w:rsidRDefault="002541AD">
            <w:pPr>
              <w:rPr>
                <w:rFonts w:ascii="Times New Roman" w:hAnsi="Times New Roman"/>
                <w:sz w:val="20"/>
                <w:szCs w:val="20"/>
              </w:rPr>
            </w:pPr>
          </w:p>
        </w:tc>
        <w:tc>
          <w:tcPr>
            <w:tcW w:w="50" w:type="pct"/>
            <w:shd w:val="clear" w:color="auto" w:fill="auto"/>
            <w:vAlign w:val="center"/>
          </w:tcPr>
          <w:p w14:paraId="3750ED2E" w14:textId="77777777" w:rsidR="002541AD" w:rsidRDefault="002541AD">
            <w:pPr>
              <w:rPr>
                <w:rFonts w:ascii="Times New Roman" w:hAnsi="Times New Roman"/>
                <w:sz w:val="20"/>
                <w:szCs w:val="20"/>
              </w:rPr>
            </w:pPr>
          </w:p>
        </w:tc>
        <w:tc>
          <w:tcPr>
            <w:tcW w:w="500" w:type="pct"/>
            <w:shd w:val="clear" w:color="auto" w:fill="auto"/>
            <w:vAlign w:val="center"/>
          </w:tcPr>
          <w:p w14:paraId="3750ED2F" w14:textId="77777777" w:rsidR="002541AD" w:rsidRDefault="002541AD">
            <w:pPr>
              <w:rPr>
                <w:rFonts w:ascii="Times New Roman" w:hAnsi="Times New Roman"/>
                <w:sz w:val="20"/>
                <w:szCs w:val="20"/>
              </w:rPr>
            </w:pPr>
          </w:p>
        </w:tc>
        <w:tc>
          <w:tcPr>
            <w:tcW w:w="50" w:type="pct"/>
            <w:shd w:val="clear" w:color="auto" w:fill="auto"/>
            <w:vAlign w:val="center"/>
          </w:tcPr>
          <w:p w14:paraId="3750ED30" w14:textId="77777777" w:rsidR="002541AD" w:rsidRDefault="002541AD">
            <w:pPr>
              <w:rPr>
                <w:rFonts w:ascii="Times New Roman" w:hAnsi="Times New Roman"/>
                <w:sz w:val="20"/>
                <w:szCs w:val="20"/>
              </w:rPr>
            </w:pPr>
          </w:p>
        </w:tc>
        <w:tc>
          <w:tcPr>
            <w:tcW w:w="50" w:type="pct"/>
            <w:shd w:val="clear" w:color="auto" w:fill="auto"/>
            <w:vAlign w:val="center"/>
          </w:tcPr>
          <w:p w14:paraId="3750ED31" w14:textId="77777777" w:rsidR="002541AD" w:rsidRDefault="002541AD">
            <w:pPr>
              <w:rPr>
                <w:rFonts w:ascii="Times New Roman" w:hAnsi="Times New Roman"/>
                <w:sz w:val="20"/>
                <w:szCs w:val="20"/>
              </w:rPr>
            </w:pPr>
          </w:p>
        </w:tc>
        <w:tc>
          <w:tcPr>
            <w:tcW w:w="50" w:type="pct"/>
            <w:shd w:val="clear" w:color="auto" w:fill="auto"/>
            <w:vAlign w:val="center"/>
          </w:tcPr>
          <w:p w14:paraId="3750ED32" w14:textId="77777777" w:rsidR="002541AD" w:rsidRDefault="002541AD">
            <w:pPr>
              <w:rPr>
                <w:rFonts w:ascii="Times New Roman" w:hAnsi="Times New Roman"/>
                <w:sz w:val="20"/>
                <w:szCs w:val="20"/>
              </w:rPr>
            </w:pPr>
          </w:p>
        </w:tc>
        <w:tc>
          <w:tcPr>
            <w:tcW w:w="500" w:type="pct"/>
            <w:shd w:val="clear" w:color="auto" w:fill="auto"/>
            <w:vAlign w:val="center"/>
          </w:tcPr>
          <w:p w14:paraId="3750ED33" w14:textId="77777777" w:rsidR="002541AD" w:rsidRDefault="002541AD">
            <w:pPr>
              <w:rPr>
                <w:rFonts w:ascii="Times New Roman" w:hAnsi="Times New Roman"/>
                <w:sz w:val="20"/>
                <w:szCs w:val="20"/>
              </w:rPr>
            </w:pPr>
          </w:p>
        </w:tc>
        <w:tc>
          <w:tcPr>
            <w:tcW w:w="50" w:type="pct"/>
            <w:shd w:val="clear" w:color="auto" w:fill="auto"/>
            <w:vAlign w:val="center"/>
          </w:tcPr>
          <w:p w14:paraId="3750ED34" w14:textId="77777777" w:rsidR="002541AD" w:rsidRDefault="002541AD">
            <w:pPr>
              <w:rPr>
                <w:rFonts w:ascii="Times New Roman" w:hAnsi="Times New Roman"/>
                <w:sz w:val="20"/>
                <w:szCs w:val="20"/>
              </w:rPr>
            </w:pPr>
          </w:p>
        </w:tc>
        <w:tc>
          <w:tcPr>
            <w:tcW w:w="50" w:type="pct"/>
            <w:shd w:val="clear" w:color="auto" w:fill="auto"/>
            <w:vAlign w:val="center"/>
          </w:tcPr>
          <w:p w14:paraId="3750ED35" w14:textId="77777777" w:rsidR="002541AD" w:rsidRDefault="002541AD">
            <w:pPr>
              <w:rPr>
                <w:rFonts w:ascii="Times New Roman" w:hAnsi="Times New Roman"/>
                <w:sz w:val="20"/>
                <w:szCs w:val="20"/>
              </w:rPr>
            </w:pPr>
          </w:p>
        </w:tc>
        <w:tc>
          <w:tcPr>
            <w:tcW w:w="50" w:type="pct"/>
            <w:shd w:val="clear" w:color="auto" w:fill="auto"/>
            <w:vAlign w:val="center"/>
          </w:tcPr>
          <w:p w14:paraId="3750ED36" w14:textId="77777777" w:rsidR="002541AD" w:rsidRDefault="002541AD">
            <w:pPr>
              <w:rPr>
                <w:rFonts w:ascii="Times New Roman" w:hAnsi="Times New Roman"/>
                <w:sz w:val="20"/>
                <w:szCs w:val="20"/>
              </w:rPr>
            </w:pPr>
          </w:p>
        </w:tc>
        <w:tc>
          <w:tcPr>
            <w:tcW w:w="500" w:type="pct"/>
            <w:shd w:val="clear" w:color="auto" w:fill="auto"/>
            <w:vAlign w:val="center"/>
          </w:tcPr>
          <w:p w14:paraId="3750ED37" w14:textId="77777777" w:rsidR="002541AD" w:rsidRDefault="002541AD">
            <w:pPr>
              <w:rPr>
                <w:rFonts w:ascii="Times New Roman" w:hAnsi="Times New Roman"/>
                <w:sz w:val="20"/>
                <w:szCs w:val="20"/>
              </w:rPr>
            </w:pPr>
          </w:p>
        </w:tc>
        <w:tc>
          <w:tcPr>
            <w:tcW w:w="50" w:type="pct"/>
            <w:shd w:val="clear" w:color="auto" w:fill="auto"/>
            <w:vAlign w:val="center"/>
          </w:tcPr>
          <w:p w14:paraId="3750ED38" w14:textId="77777777" w:rsidR="002541AD" w:rsidRDefault="002541AD">
            <w:pPr>
              <w:rPr>
                <w:rFonts w:ascii="Times New Roman" w:hAnsi="Times New Roman"/>
                <w:sz w:val="20"/>
                <w:szCs w:val="20"/>
              </w:rPr>
            </w:pPr>
          </w:p>
        </w:tc>
        <w:tc>
          <w:tcPr>
            <w:tcW w:w="50" w:type="pct"/>
            <w:shd w:val="clear" w:color="auto" w:fill="auto"/>
            <w:vAlign w:val="center"/>
          </w:tcPr>
          <w:p w14:paraId="3750ED39" w14:textId="77777777" w:rsidR="002541AD" w:rsidRDefault="002541AD">
            <w:pPr>
              <w:rPr>
                <w:rFonts w:ascii="Times New Roman" w:hAnsi="Times New Roman"/>
                <w:sz w:val="20"/>
                <w:szCs w:val="20"/>
              </w:rPr>
            </w:pPr>
          </w:p>
        </w:tc>
        <w:tc>
          <w:tcPr>
            <w:tcW w:w="50" w:type="pct"/>
            <w:shd w:val="clear" w:color="auto" w:fill="auto"/>
            <w:vAlign w:val="center"/>
          </w:tcPr>
          <w:p w14:paraId="3750ED3A" w14:textId="77777777" w:rsidR="002541AD" w:rsidRDefault="002541AD">
            <w:pPr>
              <w:rPr>
                <w:rFonts w:ascii="Times New Roman" w:hAnsi="Times New Roman"/>
                <w:sz w:val="20"/>
                <w:szCs w:val="20"/>
              </w:rPr>
            </w:pPr>
          </w:p>
        </w:tc>
        <w:tc>
          <w:tcPr>
            <w:tcW w:w="500" w:type="pct"/>
            <w:shd w:val="clear" w:color="auto" w:fill="auto"/>
            <w:vAlign w:val="center"/>
          </w:tcPr>
          <w:p w14:paraId="3750ED3B" w14:textId="77777777" w:rsidR="002541AD" w:rsidRDefault="002541AD">
            <w:pPr>
              <w:rPr>
                <w:rFonts w:ascii="Times New Roman" w:hAnsi="Times New Roman"/>
                <w:sz w:val="20"/>
                <w:szCs w:val="20"/>
              </w:rPr>
            </w:pPr>
          </w:p>
        </w:tc>
        <w:tc>
          <w:tcPr>
            <w:tcW w:w="50" w:type="pct"/>
            <w:shd w:val="clear" w:color="auto" w:fill="auto"/>
            <w:vAlign w:val="center"/>
          </w:tcPr>
          <w:p w14:paraId="3750ED3C" w14:textId="77777777" w:rsidR="002541AD" w:rsidRDefault="002541AD">
            <w:pPr>
              <w:rPr>
                <w:rFonts w:ascii="Times New Roman" w:hAnsi="Times New Roman"/>
                <w:sz w:val="20"/>
                <w:szCs w:val="20"/>
              </w:rPr>
            </w:pPr>
          </w:p>
        </w:tc>
      </w:tr>
      <w:tr w:rsidR="002541AD" w14:paraId="3750ED43" w14:textId="77777777">
        <w:tc>
          <w:tcPr>
            <w:tcW w:w="0" w:type="auto"/>
            <w:shd w:val="clear" w:color="auto" w:fill="auto"/>
            <w:tcMar>
              <w:top w:w="40" w:type="dxa"/>
              <w:left w:w="40" w:type="dxa"/>
              <w:bottom w:w="40" w:type="dxa"/>
              <w:right w:w="40" w:type="dxa"/>
            </w:tcMar>
            <w:vAlign w:val="bottom"/>
          </w:tcPr>
          <w:p w14:paraId="3750ED3E"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Line Item in the Consolidated Condensed Balance Sheet in Which the Hedged Item is Included</w:t>
            </w:r>
          </w:p>
        </w:tc>
        <w:tc>
          <w:tcPr>
            <w:tcW w:w="0" w:type="auto"/>
            <w:shd w:val="clear" w:color="auto" w:fill="auto"/>
            <w:tcMar>
              <w:top w:w="40" w:type="dxa"/>
              <w:left w:w="40" w:type="dxa"/>
              <w:bottom w:w="40" w:type="dxa"/>
              <w:right w:w="40" w:type="dxa"/>
            </w:tcMar>
            <w:vAlign w:val="bottom"/>
          </w:tcPr>
          <w:p w14:paraId="3750ED3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3750ED40"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Carrying Amount of the Hedged Item Asset/(Liabilities)</w:t>
            </w:r>
          </w:p>
        </w:tc>
        <w:tc>
          <w:tcPr>
            <w:tcW w:w="0" w:type="auto"/>
            <w:shd w:val="clear" w:color="auto" w:fill="auto"/>
            <w:tcMar>
              <w:top w:w="40" w:type="dxa"/>
              <w:left w:w="40" w:type="dxa"/>
              <w:bottom w:w="40" w:type="dxa"/>
              <w:right w:w="40" w:type="dxa"/>
            </w:tcMar>
            <w:vAlign w:val="bottom"/>
          </w:tcPr>
          <w:p w14:paraId="3750ED4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3750ED42"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Cumulative Amount of Fair Value Hedging Adjustment Included in the Carrying Amount Assets/(Liabilities)</w:t>
            </w:r>
          </w:p>
        </w:tc>
      </w:tr>
      <w:tr w:rsidR="002541AD" w14:paraId="3750ED4D"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D44"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ED4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D46"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c>
          <w:tcPr>
            <w:tcW w:w="0" w:type="auto"/>
            <w:shd w:val="clear" w:color="auto" w:fill="auto"/>
            <w:tcMar>
              <w:top w:w="40" w:type="dxa"/>
              <w:left w:w="40" w:type="dxa"/>
              <w:bottom w:w="40" w:type="dxa"/>
              <w:right w:w="40" w:type="dxa"/>
            </w:tcMar>
            <w:vAlign w:val="bottom"/>
          </w:tcPr>
          <w:p w14:paraId="3750ED4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D48"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c>
          <w:tcPr>
            <w:tcW w:w="0" w:type="auto"/>
            <w:shd w:val="clear" w:color="auto" w:fill="auto"/>
            <w:tcMar>
              <w:top w:w="40" w:type="dxa"/>
              <w:left w:w="40" w:type="dxa"/>
              <w:bottom w:w="40" w:type="dxa"/>
              <w:right w:w="40" w:type="dxa"/>
            </w:tcMar>
            <w:vAlign w:val="bottom"/>
          </w:tcPr>
          <w:p w14:paraId="3750ED4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D4A"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c>
          <w:tcPr>
            <w:tcW w:w="0" w:type="auto"/>
            <w:shd w:val="clear" w:color="auto" w:fill="auto"/>
            <w:tcMar>
              <w:top w:w="40" w:type="dxa"/>
              <w:left w:w="40" w:type="dxa"/>
              <w:bottom w:w="40" w:type="dxa"/>
              <w:right w:w="40" w:type="dxa"/>
            </w:tcMar>
            <w:vAlign w:val="bottom"/>
          </w:tcPr>
          <w:p w14:paraId="3750ED4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D4C"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r>
      <w:tr w:rsidR="002541AD" w14:paraId="3750ED5F" w14:textId="77777777">
        <w:tc>
          <w:tcPr>
            <w:tcW w:w="0" w:type="auto"/>
            <w:shd w:val="clear" w:color="auto" w:fill="auto"/>
            <w:tcMar>
              <w:top w:w="40" w:type="dxa"/>
              <w:left w:w="40" w:type="dxa"/>
              <w:bottom w:w="40" w:type="dxa"/>
              <w:right w:w="40" w:type="dxa"/>
            </w:tcMar>
          </w:tcPr>
          <w:p w14:paraId="3750ED4E"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Long-term debt</w:t>
            </w:r>
          </w:p>
        </w:tc>
        <w:tc>
          <w:tcPr>
            <w:tcW w:w="0" w:type="auto"/>
            <w:shd w:val="clear" w:color="auto" w:fill="auto"/>
            <w:tcMar>
              <w:top w:w="40" w:type="dxa"/>
              <w:left w:w="40" w:type="dxa"/>
              <w:bottom w:w="40" w:type="dxa"/>
              <w:right w:w="40" w:type="dxa"/>
            </w:tcMar>
            <w:vAlign w:val="bottom"/>
          </w:tcPr>
          <w:p w14:paraId="3750ED4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D50"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D5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(13,632</w:t>
            </w:r>
          </w:p>
        </w:tc>
        <w:tc>
          <w:tcPr>
            <w:tcW w:w="0" w:type="auto"/>
            <w:shd w:val="clear" w:color="auto" w:fill="auto"/>
            <w:tcMar>
              <w:top w:w="40" w:type="dxa"/>
              <w:bottom w:w="40" w:type="dxa"/>
              <w:right w:w="40" w:type="dxa"/>
            </w:tcMar>
            <w:vAlign w:val="bottom"/>
          </w:tcPr>
          <w:p w14:paraId="3750ED52"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D5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D54"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D55"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(12,678</w:t>
            </w:r>
          </w:p>
        </w:tc>
        <w:tc>
          <w:tcPr>
            <w:tcW w:w="0" w:type="auto"/>
            <w:shd w:val="clear" w:color="auto" w:fill="auto"/>
            <w:tcMar>
              <w:top w:w="40" w:type="dxa"/>
              <w:bottom w:w="40" w:type="dxa"/>
              <w:right w:w="40" w:type="dxa"/>
            </w:tcMar>
            <w:vAlign w:val="bottom"/>
          </w:tcPr>
          <w:p w14:paraId="3750ED56"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3750ED5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D58"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D5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(1,635</w:t>
            </w:r>
          </w:p>
        </w:tc>
        <w:tc>
          <w:tcPr>
            <w:tcW w:w="0" w:type="auto"/>
            <w:shd w:val="clear" w:color="auto" w:fill="auto"/>
            <w:tcMar>
              <w:top w:w="40" w:type="dxa"/>
              <w:bottom w:w="40" w:type="dxa"/>
              <w:right w:w="40" w:type="dxa"/>
            </w:tcMar>
            <w:vAlign w:val="bottom"/>
          </w:tcPr>
          <w:p w14:paraId="3750ED5A"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D5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D5C"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ED5D"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(681</w:t>
            </w:r>
          </w:p>
        </w:tc>
        <w:tc>
          <w:tcPr>
            <w:tcW w:w="0" w:type="auto"/>
            <w:shd w:val="clear" w:color="auto" w:fill="auto"/>
            <w:tcMar>
              <w:top w:w="40" w:type="dxa"/>
              <w:bottom w:w="40" w:type="dxa"/>
              <w:right w:w="40" w:type="dxa"/>
            </w:tcMar>
            <w:vAlign w:val="bottom"/>
          </w:tcPr>
          <w:p w14:paraId="3750ED5E"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bl>
    <w:p w14:paraId="3750ED60" w14:textId="77777777" w:rsidR="002541AD" w:rsidRDefault="002541AD"/>
    <w:p w14:paraId="3750ED61"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The total notional amount of pay variable and receive fixed interest rate swaps was $12.0 billion as of March 28, 2020 and as of December 28, 2019.</w:t>
      </w:r>
    </w:p>
    <w:p w14:paraId="3750ED62" w14:textId="77777777" w:rsidR="002541AD" w:rsidRDefault="00901AA6">
      <w:pPr>
        <w:spacing w:line="288" w:lineRule="auto"/>
        <w:rPr>
          <w:rFonts w:ascii="Times New Roman" w:hAnsi="Times New Roman"/>
        </w:rPr>
      </w:pPr>
      <w:r>
        <w:rPr>
          <w:rFonts w:ascii="Arial" w:eastAsia="宋体" w:hAnsi="Arial" w:cs="Arial"/>
          <w:b/>
          <w:bCs/>
          <w:color w:val="0071C5"/>
        </w:rPr>
        <w:t>DERIVATIVES NOT DESIGNATED AS HEDGING INSTRUMENTS</w:t>
      </w:r>
    </w:p>
    <w:p w14:paraId="3750ED63"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The effects of derivative instruments not designated as he</w:t>
      </w:r>
      <w:r>
        <w:rPr>
          <w:rFonts w:ascii="Arial" w:eastAsia="宋体" w:hAnsi="Arial" w:cs="Arial"/>
          <w:color w:val="333333"/>
          <w:sz w:val="18"/>
          <w:szCs w:val="18"/>
        </w:rPr>
        <w:t>dging instruments on the Consolidated Condensed Statements of Income for each period were as follows:</w:t>
      </w:r>
    </w:p>
    <w:tbl>
      <w:tblPr>
        <w:tblW w:w="4991" w:type="pct"/>
        <w:tblCellMar>
          <w:left w:w="0" w:type="dxa"/>
          <w:right w:w="0" w:type="dxa"/>
        </w:tblCellMar>
        <w:tblLook w:val="04A0" w:firstRow="1" w:lastRow="0" w:firstColumn="1" w:lastColumn="0" w:noHBand="0" w:noVBand="1"/>
      </w:tblPr>
      <w:tblGrid>
        <w:gridCol w:w="1833"/>
        <w:gridCol w:w="130"/>
        <w:gridCol w:w="4072"/>
        <w:gridCol w:w="130"/>
        <w:gridCol w:w="142"/>
        <w:gridCol w:w="755"/>
        <w:gridCol w:w="101"/>
        <w:gridCol w:w="130"/>
        <w:gridCol w:w="142"/>
        <w:gridCol w:w="755"/>
        <w:gridCol w:w="101"/>
      </w:tblGrid>
      <w:tr w:rsidR="002541AD" w14:paraId="3750ED65" w14:textId="77777777">
        <w:tc>
          <w:tcPr>
            <w:tcW w:w="0" w:type="auto"/>
            <w:gridSpan w:val="11"/>
            <w:shd w:val="clear" w:color="auto" w:fill="auto"/>
            <w:vAlign w:val="center"/>
          </w:tcPr>
          <w:p w14:paraId="3750ED64" w14:textId="77777777" w:rsidR="002541AD" w:rsidRDefault="002541AD">
            <w:pPr>
              <w:rPr>
                <w:rFonts w:ascii="Times New Roman" w:hAnsi="Times New Roman"/>
                <w:sz w:val="20"/>
                <w:szCs w:val="20"/>
              </w:rPr>
            </w:pPr>
          </w:p>
        </w:tc>
      </w:tr>
      <w:tr w:rsidR="002541AD" w14:paraId="3750ED71" w14:textId="77777777">
        <w:tc>
          <w:tcPr>
            <w:tcW w:w="1150" w:type="pct"/>
            <w:shd w:val="clear" w:color="auto" w:fill="auto"/>
            <w:vAlign w:val="center"/>
          </w:tcPr>
          <w:p w14:paraId="3750ED66" w14:textId="77777777" w:rsidR="002541AD" w:rsidRDefault="002541AD">
            <w:pPr>
              <w:rPr>
                <w:rFonts w:ascii="Times New Roman" w:hAnsi="Times New Roman"/>
                <w:sz w:val="20"/>
                <w:szCs w:val="20"/>
              </w:rPr>
            </w:pPr>
          </w:p>
        </w:tc>
        <w:tc>
          <w:tcPr>
            <w:tcW w:w="50" w:type="pct"/>
            <w:shd w:val="clear" w:color="auto" w:fill="auto"/>
            <w:vAlign w:val="center"/>
          </w:tcPr>
          <w:p w14:paraId="3750ED67" w14:textId="77777777" w:rsidR="002541AD" w:rsidRDefault="002541AD">
            <w:pPr>
              <w:rPr>
                <w:rFonts w:ascii="Times New Roman" w:hAnsi="Times New Roman"/>
                <w:sz w:val="20"/>
                <w:szCs w:val="20"/>
              </w:rPr>
            </w:pPr>
          </w:p>
        </w:tc>
        <w:tc>
          <w:tcPr>
            <w:tcW w:w="2500" w:type="pct"/>
            <w:shd w:val="clear" w:color="auto" w:fill="auto"/>
            <w:vAlign w:val="center"/>
          </w:tcPr>
          <w:p w14:paraId="3750ED68" w14:textId="77777777" w:rsidR="002541AD" w:rsidRDefault="002541AD">
            <w:pPr>
              <w:rPr>
                <w:rFonts w:ascii="Times New Roman" w:hAnsi="Times New Roman"/>
                <w:sz w:val="20"/>
                <w:szCs w:val="20"/>
              </w:rPr>
            </w:pPr>
          </w:p>
        </w:tc>
        <w:tc>
          <w:tcPr>
            <w:tcW w:w="50" w:type="pct"/>
            <w:shd w:val="clear" w:color="auto" w:fill="auto"/>
            <w:vAlign w:val="center"/>
          </w:tcPr>
          <w:p w14:paraId="3750ED69" w14:textId="77777777" w:rsidR="002541AD" w:rsidRDefault="002541AD">
            <w:pPr>
              <w:rPr>
                <w:rFonts w:ascii="Times New Roman" w:hAnsi="Times New Roman"/>
                <w:sz w:val="20"/>
                <w:szCs w:val="20"/>
              </w:rPr>
            </w:pPr>
          </w:p>
        </w:tc>
        <w:tc>
          <w:tcPr>
            <w:tcW w:w="50" w:type="pct"/>
            <w:shd w:val="clear" w:color="auto" w:fill="auto"/>
            <w:vAlign w:val="center"/>
          </w:tcPr>
          <w:p w14:paraId="3750ED6A" w14:textId="77777777" w:rsidR="002541AD" w:rsidRDefault="002541AD">
            <w:pPr>
              <w:rPr>
                <w:rFonts w:ascii="Times New Roman" w:hAnsi="Times New Roman"/>
                <w:sz w:val="20"/>
                <w:szCs w:val="20"/>
              </w:rPr>
            </w:pPr>
          </w:p>
        </w:tc>
        <w:tc>
          <w:tcPr>
            <w:tcW w:w="500" w:type="pct"/>
            <w:shd w:val="clear" w:color="auto" w:fill="auto"/>
            <w:vAlign w:val="center"/>
          </w:tcPr>
          <w:p w14:paraId="3750ED6B" w14:textId="77777777" w:rsidR="002541AD" w:rsidRDefault="002541AD">
            <w:pPr>
              <w:rPr>
                <w:rFonts w:ascii="Times New Roman" w:hAnsi="Times New Roman"/>
                <w:sz w:val="20"/>
                <w:szCs w:val="20"/>
              </w:rPr>
            </w:pPr>
          </w:p>
        </w:tc>
        <w:tc>
          <w:tcPr>
            <w:tcW w:w="50" w:type="pct"/>
            <w:shd w:val="clear" w:color="auto" w:fill="auto"/>
            <w:vAlign w:val="center"/>
          </w:tcPr>
          <w:p w14:paraId="3750ED6C" w14:textId="77777777" w:rsidR="002541AD" w:rsidRDefault="002541AD">
            <w:pPr>
              <w:rPr>
                <w:rFonts w:ascii="Times New Roman" w:hAnsi="Times New Roman"/>
                <w:sz w:val="20"/>
                <w:szCs w:val="20"/>
              </w:rPr>
            </w:pPr>
          </w:p>
        </w:tc>
        <w:tc>
          <w:tcPr>
            <w:tcW w:w="50" w:type="pct"/>
            <w:shd w:val="clear" w:color="auto" w:fill="auto"/>
            <w:vAlign w:val="center"/>
          </w:tcPr>
          <w:p w14:paraId="3750ED6D" w14:textId="77777777" w:rsidR="002541AD" w:rsidRDefault="002541AD">
            <w:pPr>
              <w:rPr>
                <w:rFonts w:ascii="Times New Roman" w:hAnsi="Times New Roman"/>
                <w:sz w:val="20"/>
                <w:szCs w:val="20"/>
              </w:rPr>
            </w:pPr>
          </w:p>
        </w:tc>
        <w:tc>
          <w:tcPr>
            <w:tcW w:w="50" w:type="pct"/>
            <w:shd w:val="clear" w:color="auto" w:fill="auto"/>
            <w:vAlign w:val="center"/>
          </w:tcPr>
          <w:p w14:paraId="3750ED6E" w14:textId="77777777" w:rsidR="002541AD" w:rsidRDefault="002541AD">
            <w:pPr>
              <w:rPr>
                <w:rFonts w:ascii="Times New Roman" w:hAnsi="Times New Roman"/>
                <w:sz w:val="20"/>
                <w:szCs w:val="20"/>
              </w:rPr>
            </w:pPr>
          </w:p>
        </w:tc>
        <w:tc>
          <w:tcPr>
            <w:tcW w:w="500" w:type="pct"/>
            <w:shd w:val="clear" w:color="auto" w:fill="auto"/>
            <w:vAlign w:val="center"/>
          </w:tcPr>
          <w:p w14:paraId="3750ED6F" w14:textId="77777777" w:rsidR="002541AD" w:rsidRDefault="002541AD">
            <w:pPr>
              <w:rPr>
                <w:rFonts w:ascii="Times New Roman" w:hAnsi="Times New Roman"/>
                <w:sz w:val="20"/>
                <w:szCs w:val="20"/>
              </w:rPr>
            </w:pPr>
          </w:p>
        </w:tc>
        <w:tc>
          <w:tcPr>
            <w:tcW w:w="50" w:type="pct"/>
            <w:shd w:val="clear" w:color="auto" w:fill="auto"/>
            <w:vAlign w:val="center"/>
          </w:tcPr>
          <w:p w14:paraId="3750ED70" w14:textId="77777777" w:rsidR="002541AD" w:rsidRDefault="002541AD">
            <w:pPr>
              <w:rPr>
                <w:rFonts w:ascii="Times New Roman" w:hAnsi="Times New Roman"/>
                <w:sz w:val="20"/>
                <w:szCs w:val="20"/>
              </w:rPr>
            </w:pPr>
          </w:p>
        </w:tc>
      </w:tr>
      <w:tr w:rsidR="002541AD" w14:paraId="3750ED77" w14:textId="77777777">
        <w:tc>
          <w:tcPr>
            <w:tcW w:w="0" w:type="auto"/>
            <w:shd w:val="clear" w:color="auto" w:fill="auto"/>
            <w:tcMar>
              <w:top w:w="40" w:type="dxa"/>
              <w:left w:w="40" w:type="dxa"/>
              <w:bottom w:w="40" w:type="dxa"/>
              <w:right w:w="40" w:type="dxa"/>
            </w:tcMar>
            <w:vAlign w:val="bottom"/>
          </w:tcPr>
          <w:p w14:paraId="3750ED72"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 </w:t>
            </w:r>
          </w:p>
        </w:tc>
        <w:tc>
          <w:tcPr>
            <w:tcW w:w="0" w:type="auto"/>
            <w:shd w:val="clear" w:color="auto" w:fill="auto"/>
            <w:tcMar>
              <w:top w:w="40" w:type="dxa"/>
              <w:left w:w="40" w:type="dxa"/>
              <w:bottom w:w="40" w:type="dxa"/>
              <w:right w:w="40" w:type="dxa"/>
            </w:tcMar>
            <w:vAlign w:val="bottom"/>
          </w:tcPr>
          <w:p w14:paraId="3750ED7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D74"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 </w:t>
            </w:r>
          </w:p>
        </w:tc>
        <w:tc>
          <w:tcPr>
            <w:tcW w:w="0" w:type="auto"/>
            <w:shd w:val="clear" w:color="auto" w:fill="auto"/>
            <w:tcMar>
              <w:top w:w="40" w:type="dxa"/>
              <w:left w:w="40" w:type="dxa"/>
              <w:bottom w:w="40" w:type="dxa"/>
              <w:right w:w="40" w:type="dxa"/>
            </w:tcMar>
            <w:vAlign w:val="bottom"/>
          </w:tcPr>
          <w:p w14:paraId="3750ED7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3750ED76"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Three Months Ended</w:t>
            </w:r>
          </w:p>
        </w:tc>
      </w:tr>
      <w:tr w:rsidR="002541AD" w14:paraId="3750ED80"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D78"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ED7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ED7A" w14:textId="77777777" w:rsidR="002541AD" w:rsidRDefault="00901AA6">
            <w:pPr>
              <w:ind w:hanging="240"/>
              <w:jc w:val="center"/>
              <w:textAlignment w:val="bottom"/>
              <w:rPr>
                <w:rFonts w:ascii="Times New Roman" w:hAnsi="Times New Roman"/>
                <w:sz w:val="18"/>
                <w:szCs w:val="18"/>
              </w:rPr>
            </w:pPr>
            <w:r>
              <w:rPr>
                <w:rFonts w:ascii="Arial" w:eastAsia="宋体" w:hAnsi="Arial" w:cs="Arial"/>
                <w:b/>
                <w:bCs/>
                <w:color w:val="333333"/>
                <w:sz w:val="18"/>
                <w:szCs w:val="18"/>
              </w:rPr>
              <w:t>Location of Gains (Losses)</w:t>
            </w:r>
          </w:p>
          <w:p w14:paraId="3750ED7B" w14:textId="77777777" w:rsidR="002541AD" w:rsidRDefault="00901AA6">
            <w:pPr>
              <w:ind w:hanging="240"/>
              <w:jc w:val="center"/>
              <w:textAlignment w:val="bottom"/>
              <w:rPr>
                <w:rFonts w:ascii="Times New Roman" w:hAnsi="Times New Roman"/>
                <w:sz w:val="18"/>
                <w:szCs w:val="18"/>
              </w:rPr>
            </w:pPr>
            <w:r>
              <w:rPr>
                <w:rFonts w:ascii="Arial" w:eastAsia="宋体" w:hAnsi="Arial" w:cs="Arial"/>
                <w:b/>
                <w:bCs/>
                <w:color w:val="333333"/>
                <w:sz w:val="18"/>
                <w:szCs w:val="18"/>
              </w:rPr>
              <w:t>Recognized in Income on Derivatives</w:t>
            </w:r>
          </w:p>
        </w:tc>
        <w:tc>
          <w:tcPr>
            <w:tcW w:w="0" w:type="auto"/>
            <w:shd w:val="clear" w:color="auto" w:fill="auto"/>
            <w:tcMar>
              <w:top w:w="40" w:type="dxa"/>
              <w:left w:w="40" w:type="dxa"/>
              <w:bottom w:w="40" w:type="dxa"/>
              <w:right w:w="40" w:type="dxa"/>
            </w:tcMar>
            <w:vAlign w:val="bottom"/>
          </w:tcPr>
          <w:p w14:paraId="3750ED7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D7D"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c>
          <w:tcPr>
            <w:tcW w:w="0" w:type="auto"/>
            <w:shd w:val="clear" w:color="auto" w:fill="auto"/>
            <w:tcMar>
              <w:top w:w="40" w:type="dxa"/>
              <w:left w:w="40" w:type="dxa"/>
              <w:bottom w:w="40" w:type="dxa"/>
              <w:right w:w="40" w:type="dxa"/>
            </w:tcMar>
            <w:vAlign w:val="bottom"/>
          </w:tcPr>
          <w:p w14:paraId="3750ED7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D7F"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30, </w:t>
            </w:r>
            <w:r>
              <w:rPr>
                <w:rFonts w:ascii="Arial" w:eastAsia="宋体" w:hAnsi="Arial" w:cs="Arial"/>
                <w:b/>
                <w:bCs/>
                <w:color w:val="333333"/>
                <w:sz w:val="18"/>
                <w:szCs w:val="18"/>
              </w:rPr>
              <w:br/>
              <w:t>2019</w:t>
            </w:r>
          </w:p>
        </w:tc>
      </w:tr>
      <w:tr w:rsidR="002541AD" w14:paraId="3750ED8C" w14:textId="77777777">
        <w:tc>
          <w:tcPr>
            <w:tcW w:w="0" w:type="auto"/>
            <w:shd w:val="clear" w:color="auto" w:fill="auto"/>
            <w:tcMar>
              <w:top w:w="40" w:type="dxa"/>
              <w:left w:w="40" w:type="dxa"/>
              <w:bottom w:w="40" w:type="dxa"/>
              <w:right w:w="40" w:type="dxa"/>
            </w:tcMar>
          </w:tcPr>
          <w:p w14:paraId="3750ED81"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Foreign currency contracts</w:t>
            </w:r>
          </w:p>
        </w:tc>
        <w:tc>
          <w:tcPr>
            <w:tcW w:w="0" w:type="auto"/>
            <w:shd w:val="clear" w:color="auto" w:fill="auto"/>
            <w:tcMar>
              <w:top w:w="40" w:type="dxa"/>
              <w:left w:w="40" w:type="dxa"/>
              <w:bottom w:w="40" w:type="dxa"/>
              <w:right w:w="40" w:type="dxa"/>
            </w:tcMar>
            <w:vAlign w:val="bottom"/>
          </w:tcPr>
          <w:p w14:paraId="3750ED8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D83"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Interest and other, net</w:t>
            </w:r>
          </w:p>
        </w:tc>
        <w:tc>
          <w:tcPr>
            <w:tcW w:w="0" w:type="auto"/>
            <w:shd w:val="clear" w:color="auto" w:fill="auto"/>
            <w:tcMar>
              <w:top w:w="40" w:type="dxa"/>
              <w:left w:w="40" w:type="dxa"/>
              <w:bottom w:w="40" w:type="dxa"/>
              <w:right w:w="40" w:type="dxa"/>
            </w:tcMar>
            <w:vAlign w:val="bottom"/>
          </w:tcPr>
          <w:p w14:paraId="3750ED8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D85"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ED8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154</w:t>
            </w:r>
          </w:p>
        </w:tc>
        <w:tc>
          <w:tcPr>
            <w:tcW w:w="0" w:type="auto"/>
            <w:shd w:val="clear" w:color="auto" w:fill="auto"/>
            <w:vAlign w:val="bottom"/>
          </w:tcPr>
          <w:p w14:paraId="3750ED8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D8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ED89" w14:textId="77777777" w:rsidR="002541AD" w:rsidRDefault="00901AA6">
            <w:pPr>
              <w:textAlignment w:val="bottom"/>
              <w:rPr>
                <w:rFonts w:ascii="Times New Roman" w:hAnsi="Times New Roman"/>
                <w:sz w:val="18"/>
                <w:szCs w:val="18"/>
              </w:rPr>
            </w:pPr>
            <w:r>
              <w:rPr>
                <w:rFonts w:ascii="Arial" w:eastAsia="宋体" w:hAnsi="Arial" w:cs="Arial"/>
                <w:color w:val="000000"/>
                <w:sz w:val="18"/>
                <w:szCs w:val="18"/>
              </w:rPr>
              <w:t>$</w:t>
            </w:r>
          </w:p>
        </w:tc>
        <w:tc>
          <w:tcPr>
            <w:tcW w:w="0" w:type="auto"/>
            <w:shd w:val="clear" w:color="auto" w:fill="auto"/>
            <w:tcMar>
              <w:top w:w="40" w:type="dxa"/>
              <w:bottom w:w="40" w:type="dxa"/>
            </w:tcMar>
            <w:vAlign w:val="bottom"/>
          </w:tcPr>
          <w:p w14:paraId="3750ED8A" w14:textId="77777777" w:rsidR="002541AD" w:rsidRDefault="00901AA6">
            <w:pPr>
              <w:jc w:val="right"/>
              <w:textAlignment w:val="bottom"/>
              <w:rPr>
                <w:rFonts w:ascii="Times New Roman" w:hAnsi="Times New Roman"/>
                <w:sz w:val="18"/>
                <w:szCs w:val="18"/>
              </w:rPr>
            </w:pPr>
            <w:r>
              <w:rPr>
                <w:rFonts w:ascii="Arial" w:eastAsia="宋体" w:hAnsi="Arial" w:cs="Arial"/>
                <w:color w:val="000000"/>
                <w:sz w:val="18"/>
                <w:szCs w:val="18"/>
              </w:rPr>
              <w:t>57</w:t>
            </w:r>
          </w:p>
        </w:tc>
        <w:tc>
          <w:tcPr>
            <w:tcW w:w="0" w:type="auto"/>
            <w:shd w:val="clear" w:color="auto" w:fill="auto"/>
            <w:vAlign w:val="bottom"/>
          </w:tcPr>
          <w:p w14:paraId="3750ED8B" w14:textId="77777777" w:rsidR="002541AD" w:rsidRDefault="002541AD">
            <w:pPr>
              <w:textAlignment w:val="bottom"/>
              <w:rPr>
                <w:rFonts w:ascii="Times New Roman" w:hAnsi="Times New Roman"/>
                <w:sz w:val="20"/>
                <w:szCs w:val="20"/>
              </w:rPr>
            </w:pPr>
          </w:p>
        </w:tc>
      </w:tr>
      <w:tr w:rsidR="002541AD" w14:paraId="3750ED96" w14:textId="77777777">
        <w:tc>
          <w:tcPr>
            <w:tcW w:w="0" w:type="auto"/>
            <w:shd w:val="clear" w:color="auto" w:fill="auto"/>
            <w:tcMar>
              <w:top w:w="40" w:type="dxa"/>
              <w:left w:w="40" w:type="dxa"/>
              <w:bottom w:w="40" w:type="dxa"/>
              <w:right w:w="40" w:type="dxa"/>
            </w:tcMar>
          </w:tcPr>
          <w:p w14:paraId="3750ED8D"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Interest rate contracts</w:t>
            </w:r>
          </w:p>
        </w:tc>
        <w:tc>
          <w:tcPr>
            <w:tcW w:w="0" w:type="auto"/>
            <w:shd w:val="clear" w:color="auto" w:fill="auto"/>
            <w:tcMar>
              <w:top w:w="40" w:type="dxa"/>
              <w:left w:w="40" w:type="dxa"/>
              <w:bottom w:w="40" w:type="dxa"/>
              <w:right w:w="40" w:type="dxa"/>
            </w:tcMar>
            <w:vAlign w:val="bottom"/>
          </w:tcPr>
          <w:p w14:paraId="3750ED8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D8F"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Interest and other, net</w:t>
            </w:r>
          </w:p>
        </w:tc>
        <w:tc>
          <w:tcPr>
            <w:tcW w:w="0" w:type="auto"/>
            <w:shd w:val="clear" w:color="auto" w:fill="auto"/>
            <w:tcMar>
              <w:top w:w="40" w:type="dxa"/>
              <w:left w:w="40" w:type="dxa"/>
              <w:bottom w:w="40" w:type="dxa"/>
              <w:right w:w="40" w:type="dxa"/>
            </w:tcMar>
            <w:vAlign w:val="bottom"/>
          </w:tcPr>
          <w:p w14:paraId="3750ED9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D9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(77</w:t>
            </w:r>
          </w:p>
        </w:tc>
        <w:tc>
          <w:tcPr>
            <w:tcW w:w="0" w:type="auto"/>
            <w:shd w:val="clear" w:color="auto" w:fill="auto"/>
            <w:tcMar>
              <w:top w:w="40" w:type="dxa"/>
              <w:bottom w:w="40" w:type="dxa"/>
              <w:right w:w="40" w:type="dxa"/>
            </w:tcMar>
            <w:vAlign w:val="bottom"/>
          </w:tcPr>
          <w:p w14:paraId="3750ED92"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D9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D94" w14:textId="77777777" w:rsidR="002541AD" w:rsidRDefault="00901AA6">
            <w:pPr>
              <w:jc w:val="right"/>
              <w:textAlignment w:val="bottom"/>
              <w:rPr>
                <w:rFonts w:ascii="Times New Roman" w:hAnsi="Times New Roman"/>
                <w:sz w:val="18"/>
                <w:szCs w:val="18"/>
              </w:rPr>
            </w:pPr>
            <w:r>
              <w:rPr>
                <w:rFonts w:ascii="Arial" w:eastAsia="宋体" w:hAnsi="Arial" w:cs="Arial"/>
                <w:color w:val="000000"/>
                <w:sz w:val="18"/>
                <w:szCs w:val="18"/>
              </w:rPr>
              <w:t>(14</w:t>
            </w:r>
          </w:p>
        </w:tc>
        <w:tc>
          <w:tcPr>
            <w:tcW w:w="0" w:type="auto"/>
            <w:shd w:val="clear" w:color="auto" w:fill="auto"/>
            <w:tcMar>
              <w:top w:w="40" w:type="dxa"/>
              <w:bottom w:w="40" w:type="dxa"/>
              <w:right w:w="40" w:type="dxa"/>
            </w:tcMar>
            <w:vAlign w:val="bottom"/>
          </w:tcPr>
          <w:p w14:paraId="3750ED95" w14:textId="77777777" w:rsidR="002541AD" w:rsidRDefault="00901AA6">
            <w:pPr>
              <w:textAlignment w:val="bottom"/>
              <w:rPr>
                <w:rFonts w:ascii="Times New Roman" w:hAnsi="Times New Roman"/>
                <w:sz w:val="18"/>
                <w:szCs w:val="18"/>
              </w:rPr>
            </w:pPr>
            <w:r>
              <w:rPr>
                <w:rFonts w:ascii="Arial" w:eastAsia="宋体" w:hAnsi="Arial" w:cs="Arial"/>
                <w:color w:val="000000"/>
                <w:sz w:val="18"/>
                <w:szCs w:val="18"/>
              </w:rPr>
              <w:t>)</w:t>
            </w:r>
          </w:p>
        </w:tc>
      </w:tr>
      <w:tr w:rsidR="002541AD" w14:paraId="3750EDA0" w14:textId="77777777">
        <w:tc>
          <w:tcPr>
            <w:tcW w:w="0" w:type="auto"/>
            <w:shd w:val="clear" w:color="auto" w:fill="auto"/>
            <w:tcMar>
              <w:top w:w="40" w:type="dxa"/>
              <w:left w:w="40" w:type="dxa"/>
              <w:bottom w:w="40" w:type="dxa"/>
              <w:right w:w="40" w:type="dxa"/>
            </w:tcMar>
          </w:tcPr>
          <w:p w14:paraId="3750ED97"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Other</w:t>
            </w:r>
          </w:p>
        </w:tc>
        <w:tc>
          <w:tcPr>
            <w:tcW w:w="0" w:type="auto"/>
            <w:shd w:val="clear" w:color="auto" w:fill="auto"/>
            <w:tcMar>
              <w:top w:w="40" w:type="dxa"/>
              <w:left w:w="40" w:type="dxa"/>
              <w:bottom w:w="40" w:type="dxa"/>
              <w:right w:w="40" w:type="dxa"/>
            </w:tcMar>
            <w:vAlign w:val="bottom"/>
          </w:tcPr>
          <w:p w14:paraId="3750ED9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D99"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Various</w:t>
            </w:r>
          </w:p>
        </w:tc>
        <w:tc>
          <w:tcPr>
            <w:tcW w:w="0" w:type="auto"/>
            <w:shd w:val="clear" w:color="auto" w:fill="auto"/>
            <w:tcMar>
              <w:top w:w="40" w:type="dxa"/>
              <w:left w:w="40" w:type="dxa"/>
              <w:bottom w:w="40" w:type="dxa"/>
              <w:right w:w="40" w:type="dxa"/>
            </w:tcMar>
            <w:vAlign w:val="bottom"/>
          </w:tcPr>
          <w:p w14:paraId="3750ED9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D9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(268</w:t>
            </w:r>
          </w:p>
        </w:tc>
        <w:tc>
          <w:tcPr>
            <w:tcW w:w="0" w:type="auto"/>
            <w:shd w:val="clear" w:color="auto" w:fill="auto"/>
            <w:tcMar>
              <w:top w:w="40" w:type="dxa"/>
              <w:bottom w:w="40" w:type="dxa"/>
              <w:right w:w="40" w:type="dxa"/>
            </w:tcMar>
            <w:vAlign w:val="bottom"/>
          </w:tcPr>
          <w:p w14:paraId="3750ED9C"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D9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ED9E" w14:textId="77777777" w:rsidR="002541AD" w:rsidRDefault="00901AA6">
            <w:pPr>
              <w:jc w:val="right"/>
              <w:textAlignment w:val="bottom"/>
              <w:rPr>
                <w:rFonts w:ascii="Times New Roman" w:hAnsi="Times New Roman"/>
                <w:sz w:val="18"/>
                <w:szCs w:val="18"/>
              </w:rPr>
            </w:pPr>
            <w:r>
              <w:rPr>
                <w:rFonts w:ascii="Arial" w:eastAsia="宋体" w:hAnsi="Arial" w:cs="Arial"/>
                <w:color w:val="000000"/>
                <w:sz w:val="18"/>
                <w:szCs w:val="18"/>
              </w:rPr>
              <w:t>146</w:t>
            </w:r>
          </w:p>
        </w:tc>
        <w:tc>
          <w:tcPr>
            <w:tcW w:w="0" w:type="auto"/>
            <w:shd w:val="clear" w:color="auto" w:fill="auto"/>
            <w:vAlign w:val="bottom"/>
          </w:tcPr>
          <w:p w14:paraId="3750ED9F" w14:textId="77777777" w:rsidR="002541AD" w:rsidRDefault="002541AD">
            <w:pPr>
              <w:textAlignment w:val="bottom"/>
              <w:rPr>
                <w:rFonts w:ascii="Times New Roman" w:hAnsi="Times New Roman"/>
                <w:sz w:val="20"/>
                <w:szCs w:val="20"/>
              </w:rPr>
            </w:pPr>
          </w:p>
        </w:tc>
      </w:tr>
      <w:tr w:rsidR="002541AD" w14:paraId="3750EDAC" w14:textId="77777777">
        <w:tc>
          <w:tcPr>
            <w:tcW w:w="0" w:type="auto"/>
            <w:shd w:val="clear" w:color="auto" w:fill="auto"/>
            <w:tcMar>
              <w:top w:w="40" w:type="dxa"/>
              <w:left w:w="40" w:type="dxa"/>
              <w:bottom w:w="40" w:type="dxa"/>
              <w:right w:w="40" w:type="dxa"/>
            </w:tcMar>
          </w:tcPr>
          <w:p w14:paraId="3750EDA1"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Total</w:t>
            </w:r>
          </w:p>
        </w:tc>
        <w:tc>
          <w:tcPr>
            <w:tcW w:w="0" w:type="auto"/>
            <w:shd w:val="clear" w:color="auto" w:fill="auto"/>
            <w:tcMar>
              <w:top w:w="40" w:type="dxa"/>
              <w:left w:w="40" w:type="dxa"/>
              <w:bottom w:w="40" w:type="dxa"/>
              <w:right w:w="40" w:type="dxa"/>
            </w:tcMar>
            <w:vAlign w:val="bottom"/>
          </w:tcPr>
          <w:p w14:paraId="3750EDA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DA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DA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DA5"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DA6"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(191</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EDA7"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3750EDA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EDA9"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EDAA"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189</w:t>
            </w:r>
          </w:p>
        </w:tc>
        <w:tc>
          <w:tcPr>
            <w:tcW w:w="0" w:type="auto"/>
            <w:tcBorders>
              <w:top w:val="single" w:sz="8" w:space="0" w:color="333333"/>
              <w:bottom w:val="double" w:sz="6" w:space="0" w:color="333333"/>
            </w:tcBorders>
            <w:shd w:val="clear" w:color="auto" w:fill="auto"/>
            <w:vAlign w:val="bottom"/>
          </w:tcPr>
          <w:p w14:paraId="3750EDAB" w14:textId="77777777" w:rsidR="002541AD" w:rsidRDefault="002541AD">
            <w:pPr>
              <w:textAlignment w:val="bottom"/>
              <w:rPr>
                <w:rFonts w:ascii="Times New Roman" w:hAnsi="Times New Roman"/>
                <w:sz w:val="20"/>
                <w:szCs w:val="20"/>
              </w:rPr>
            </w:pPr>
          </w:p>
        </w:tc>
      </w:tr>
    </w:tbl>
    <w:p w14:paraId="3750EDAD" w14:textId="77777777" w:rsidR="002541AD" w:rsidRDefault="002541AD">
      <w:pPr>
        <w:spacing w:line="288" w:lineRule="auto"/>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080"/>
        <w:gridCol w:w="7226"/>
      </w:tblGrid>
      <w:tr w:rsidR="002541AD" w14:paraId="3750EDAF" w14:textId="77777777">
        <w:tc>
          <w:tcPr>
            <w:tcW w:w="0" w:type="auto"/>
            <w:gridSpan w:val="2"/>
            <w:shd w:val="clear" w:color="auto" w:fill="auto"/>
            <w:vAlign w:val="center"/>
          </w:tcPr>
          <w:p w14:paraId="3750EDAE" w14:textId="77777777" w:rsidR="002541AD" w:rsidRDefault="002541AD">
            <w:pPr>
              <w:rPr>
                <w:rFonts w:ascii="Times New Roman" w:hAnsi="Times New Roman"/>
                <w:sz w:val="20"/>
                <w:szCs w:val="20"/>
              </w:rPr>
            </w:pPr>
          </w:p>
        </w:tc>
      </w:tr>
      <w:tr w:rsidR="002541AD" w14:paraId="3750EDB2" w14:textId="77777777">
        <w:tc>
          <w:tcPr>
            <w:tcW w:w="650" w:type="pct"/>
            <w:shd w:val="clear" w:color="auto" w:fill="auto"/>
            <w:vAlign w:val="center"/>
          </w:tcPr>
          <w:p w14:paraId="3750EDB0" w14:textId="77777777" w:rsidR="002541AD" w:rsidRDefault="002541AD">
            <w:pPr>
              <w:rPr>
                <w:rFonts w:ascii="Times New Roman" w:hAnsi="Times New Roman"/>
                <w:sz w:val="20"/>
                <w:szCs w:val="20"/>
              </w:rPr>
            </w:pPr>
          </w:p>
        </w:tc>
        <w:tc>
          <w:tcPr>
            <w:tcW w:w="4350" w:type="pct"/>
            <w:shd w:val="clear" w:color="auto" w:fill="auto"/>
            <w:vAlign w:val="center"/>
          </w:tcPr>
          <w:p w14:paraId="3750EDB1" w14:textId="77777777" w:rsidR="002541AD" w:rsidRDefault="002541AD">
            <w:pPr>
              <w:rPr>
                <w:rFonts w:ascii="Times New Roman" w:hAnsi="Times New Roman"/>
                <w:sz w:val="20"/>
                <w:szCs w:val="20"/>
              </w:rPr>
            </w:pPr>
          </w:p>
        </w:tc>
      </w:tr>
      <w:tr w:rsidR="002541AD" w14:paraId="3750EDB5" w14:textId="77777777">
        <w:tc>
          <w:tcPr>
            <w:tcW w:w="0" w:type="auto"/>
            <w:tcBorders>
              <w:bottom w:val="single" w:sz="8" w:space="0" w:color="0071C5"/>
            </w:tcBorders>
            <w:shd w:val="clear" w:color="auto" w:fill="0071C5"/>
            <w:tcMar>
              <w:top w:w="40" w:type="dxa"/>
              <w:left w:w="40" w:type="dxa"/>
              <w:bottom w:w="40" w:type="dxa"/>
              <w:right w:w="40" w:type="dxa"/>
            </w:tcMar>
            <w:vAlign w:val="bottom"/>
          </w:tcPr>
          <w:p w14:paraId="3750EDB3"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shd w:val="clear" w:color="auto" w:fill="0071C5"/>
              </w:rPr>
              <w:t xml:space="preserve">NOTE 12 :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EDB4" w14:textId="77777777" w:rsidR="002541AD" w:rsidRDefault="00901AA6">
            <w:pPr>
              <w:textAlignment w:val="bottom"/>
              <w:rPr>
                <w:rFonts w:ascii="Times New Roman" w:hAnsi="Times New Roman"/>
                <w:sz w:val="28"/>
                <w:szCs w:val="28"/>
              </w:rPr>
            </w:pPr>
            <w:r>
              <w:rPr>
                <w:rFonts w:ascii="Arial" w:eastAsia="宋体" w:hAnsi="Arial" w:cs="Arial"/>
                <w:b/>
                <w:bCs/>
                <w:color w:val="0071C5"/>
                <w:sz w:val="28"/>
                <w:szCs w:val="28"/>
              </w:rPr>
              <w:t>CONTINGENCIES</w:t>
            </w:r>
          </w:p>
        </w:tc>
      </w:tr>
    </w:tbl>
    <w:p w14:paraId="3750EDB6" w14:textId="77777777" w:rsidR="002541AD" w:rsidRDefault="00901AA6">
      <w:pPr>
        <w:spacing w:line="288" w:lineRule="auto"/>
        <w:rPr>
          <w:rFonts w:ascii="Times New Roman" w:hAnsi="Times New Roman"/>
        </w:rPr>
      </w:pPr>
      <w:r>
        <w:rPr>
          <w:rFonts w:ascii="Arial" w:eastAsia="宋体" w:hAnsi="Arial" w:cs="Arial"/>
          <w:b/>
          <w:bCs/>
          <w:color w:val="0071C5"/>
        </w:rPr>
        <w:t>LEGAL PROCEEDINGS</w:t>
      </w:r>
    </w:p>
    <w:p w14:paraId="3750EDB7"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We are a party to various legal proceedings, including those noted in this section. Although management at present believes that the ultimate outcome of these proceedings, individually and in the aggregate, will not </w:t>
      </w:r>
      <w:r>
        <w:rPr>
          <w:rFonts w:ascii="Arial" w:eastAsia="宋体" w:hAnsi="Arial" w:cs="Arial"/>
          <w:color w:val="333333"/>
          <w:sz w:val="18"/>
          <w:szCs w:val="18"/>
        </w:rPr>
        <w:t>materially harm our financial position, results of operations, cash flows, or overall trends, legal proceedings and related government investigations are subject to inherent uncertainties, and unfavorable rulings or other events could occur. Unfavorable re</w:t>
      </w:r>
      <w:r>
        <w:rPr>
          <w:rFonts w:ascii="Arial" w:eastAsia="宋体" w:hAnsi="Arial" w:cs="Arial"/>
          <w:color w:val="333333"/>
          <w:sz w:val="18"/>
          <w:szCs w:val="18"/>
        </w:rPr>
        <w:t>solutions could include substantial monetary damages. In addition, in matters for which injunctive relief or other conduct remedies are sought, unfavorable resolutions could include an injunction or other order prohibiting us from selling one or more produ</w:t>
      </w:r>
      <w:r>
        <w:rPr>
          <w:rFonts w:ascii="Arial" w:eastAsia="宋体" w:hAnsi="Arial" w:cs="Arial"/>
          <w:color w:val="333333"/>
          <w:sz w:val="18"/>
          <w:szCs w:val="18"/>
        </w:rPr>
        <w:t>cts at all or in particular ways, precluding particular business practices, or requiring other remedies. An unfavorable outcome may result in a material adverse impact on our business, results of operations, financial position, and overall trends. We might</w:t>
      </w:r>
      <w:r>
        <w:rPr>
          <w:rFonts w:ascii="Arial" w:eastAsia="宋体" w:hAnsi="Arial" w:cs="Arial"/>
          <w:color w:val="333333"/>
          <w:sz w:val="18"/>
          <w:szCs w:val="18"/>
        </w:rPr>
        <w:t xml:space="preserve"> also conclude that settling one or more such matters is in the best interests of our stockholders, employees, and customers, and any such settlement could include substantial payments. Except as specifically described below, we have not concluded that set</w:t>
      </w:r>
      <w:r>
        <w:rPr>
          <w:rFonts w:ascii="Arial" w:eastAsia="宋体" w:hAnsi="Arial" w:cs="Arial"/>
          <w:color w:val="333333"/>
          <w:sz w:val="18"/>
          <w:szCs w:val="18"/>
        </w:rPr>
        <w:t>tlement of any of the legal proceedings noted in this section is appropriate at this time.</w:t>
      </w:r>
    </w:p>
    <w:p w14:paraId="3750EDB8"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EDBA" w14:textId="77777777">
        <w:tc>
          <w:tcPr>
            <w:tcW w:w="0" w:type="auto"/>
            <w:gridSpan w:val="3"/>
            <w:shd w:val="clear" w:color="auto" w:fill="auto"/>
            <w:vAlign w:val="center"/>
          </w:tcPr>
          <w:p w14:paraId="3750EDB9" w14:textId="77777777" w:rsidR="002541AD" w:rsidRDefault="002541AD">
            <w:pPr>
              <w:rPr>
                <w:rFonts w:ascii="Times New Roman" w:hAnsi="Times New Roman"/>
                <w:sz w:val="20"/>
                <w:szCs w:val="20"/>
              </w:rPr>
            </w:pPr>
          </w:p>
        </w:tc>
      </w:tr>
      <w:tr w:rsidR="002541AD" w14:paraId="3750EDBE" w14:textId="77777777">
        <w:tc>
          <w:tcPr>
            <w:tcW w:w="1550" w:type="pct"/>
            <w:shd w:val="clear" w:color="auto" w:fill="auto"/>
            <w:vAlign w:val="center"/>
          </w:tcPr>
          <w:p w14:paraId="3750EDBB" w14:textId="77777777" w:rsidR="002541AD" w:rsidRDefault="002541AD">
            <w:pPr>
              <w:rPr>
                <w:rFonts w:ascii="Times New Roman" w:hAnsi="Times New Roman"/>
                <w:sz w:val="20"/>
                <w:szCs w:val="20"/>
              </w:rPr>
            </w:pPr>
          </w:p>
        </w:tc>
        <w:tc>
          <w:tcPr>
            <w:tcW w:w="2200" w:type="pct"/>
            <w:shd w:val="clear" w:color="auto" w:fill="auto"/>
            <w:vAlign w:val="center"/>
          </w:tcPr>
          <w:p w14:paraId="3750EDBC" w14:textId="77777777" w:rsidR="002541AD" w:rsidRDefault="002541AD">
            <w:pPr>
              <w:rPr>
                <w:rFonts w:ascii="Times New Roman" w:hAnsi="Times New Roman"/>
                <w:sz w:val="20"/>
                <w:szCs w:val="20"/>
              </w:rPr>
            </w:pPr>
          </w:p>
        </w:tc>
        <w:tc>
          <w:tcPr>
            <w:tcW w:w="1250" w:type="pct"/>
            <w:shd w:val="clear" w:color="auto" w:fill="auto"/>
            <w:vAlign w:val="center"/>
          </w:tcPr>
          <w:p w14:paraId="3750EDBD" w14:textId="77777777" w:rsidR="002541AD" w:rsidRDefault="002541AD">
            <w:pPr>
              <w:rPr>
                <w:rFonts w:ascii="Times New Roman" w:hAnsi="Times New Roman"/>
                <w:sz w:val="20"/>
                <w:szCs w:val="20"/>
              </w:rPr>
            </w:pPr>
          </w:p>
        </w:tc>
      </w:tr>
      <w:tr w:rsidR="002541AD" w14:paraId="3750EDC2" w14:textId="77777777">
        <w:tc>
          <w:tcPr>
            <w:tcW w:w="0" w:type="auto"/>
            <w:tcBorders>
              <w:top w:val="single" w:sz="8" w:space="0" w:color="0071C5"/>
              <w:right w:val="single" w:sz="24" w:space="0" w:color="0071C5"/>
            </w:tcBorders>
            <w:shd w:val="clear" w:color="auto" w:fill="auto"/>
            <w:tcMar>
              <w:top w:w="40" w:type="dxa"/>
              <w:left w:w="40" w:type="dxa"/>
              <w:bottom w:w="40" w:type="dxa"/>
              <w:right w:w="40" w:type="dxa"/>
            </w:tcMar>
            <w:vAlign w:val="center"/>
          </w:tcPr>
          <w:p w14:paraId="3750EDBF"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83" wp14:editId="3750F884">
                  <wp:extent cx="304800" cy="304800"/>
                  <wp:effectExtent l="0" t="0" r="0" b="0"/>
                  <wp:docPr id="93" name="图片 85"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5"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w:t>
            </w:r>
            <w:r>
              <w:rPr>
                <w:rFonts w:ascii="Arial" w:eastAsia="宋体" w:hAnsi="Arial" w:cs="Arial"/>
                <w:color w:val="333333"/>
                <w:sz w:val="16"/>
                <w:szCs w:val="16"/>
              </w:rPr>
              <w:t>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DC0"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DC1"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23</w:t>
            </w:r>
          </w:p>
        </w:tc>
      </w:tr>
    </w:tbl>
    <w:p w14:paraId="3750EDC3" w14:textId="77777777" w:rsidR="002541AD" w:rsidRDefault="002541AD">
      <w:pPr>
        <w:spacing w:line="288" w:lineRule="auto"/>
        <w:rPr>
          <w:rFonts w:ascii="Times New Roman" w:hAnsi="Times New Roman"/>
          <w:sz w:val="18"/>
          <w:szCs w:val="18"/>
        </w:rPr>
      </w:pPr>
    </w:p>
    <w:p w14:paraId="3750EDC4" w14:textId="77777777" w:rsidR="002541AD" w:rsidRDefault="002541AD">
      <w:pPr>
        <w:spacing w:line="288" w:lineRule="auto"/>
        <w:rPr>
          <w:rFonts w:ascii="Times New Roman" w:hAnsi="Times New Roman"/>
          <w:sz w:val="18"/>
          <w:szCs w:val="18"/>
        </w:rPr>
      </w:pPr>
    </w:p>
    <w:p w14:paraId="3750EDC5" w14:textId="77777777" w:rsidR="002541AD" w:rsidRDefault="00901AA6">
      <w:r>
        <w:rPr>
          <w:rFonts w:ascii="Times New Roman" w:hAnsi="Times New Roman"/>
          <w:sz w:val="18"/>
          <w:szCs w:val="18"/>
        </w:rPr>
        <w:pict w14:anchorId="3750F885">
          <v:rect id="_x0000_i1049" style="width:415.3pt;height:1.5pt" o:hralign="center" o:hrstd="t" o:hr="t" fillcolor="#a0a0a0" stroked="f"/>
        </w:pict>
      </w:r>
    </w:p>
    <w:p w14:paraId="3750EDC6" w14:textId="77777777" w:rsidR="002541AD" w:rsidRDefault="00901AA6">
      <w:pPr>
        <w:spacing w:line="288" w:lineRule="auto"/>
        <w:jc w:val="right"/>
        <w:rPr>
          <w:rFonts w:ascii="Times New Roman" w:hAnsi="Times New Roman"/>
          <w:sz w:val="16"/>
          <w:szCs w:val="16"/>
        </w:rPr>
      </w:pPr>
      <w:hyperlink r:id="rId52" w:anchor="s2CABEAF4222C52B4A34547BF538A8C27" w:history="1">
        <w:r>
          <w:rPr>
            <w:rStyle w:val="a5"/>
            <w:rFonts w:ascii="Arial" w:eastAsia="宋体" w:hAnsi="Arial" w:cs="Arial"/>
            <w:b/>
            <w:bCs/>
            <w:sz w:val="16"/>
            <w:szCs w:val="16"/>
          </w:rPr>
          <w:t>Table of Contents</w:t>
        </w:r>
      </w:hyperlink>
    </w:p>
    <w:p w14:paraId="3750EDC7" w14:textId="77777777" w:rsidR="002541AD" w:rsidRDefault="002541AD">
      <w:pPr>
        <w:spacing w:line="288" w:lineRule="auto"/>
        <w:jc w:val="right"/>
        <w:rPr>
          <w:rFonts w:ascii="Times New Roman" w:hAnsi="Times New Roman"/>
          <w:sz w:val="18"/>
          <w:szCs w:val="18"/>
        </w:rPr>
      </w:pPr>
    </w:p>
    <w:p w14:paraId="3750EDC8" w14:textId="77777777" w:rsidR="002541AD" w:rsidRDefault="002541AD">
      <w:pPr>
        <w:rPr>
          <w:rFonts w:ascii="Times New Roman" w:hAnsi="Times New Roman"/>
          <w:sz w:val="20"/>
          <w:szCs w:val="20"/>
        </w:rPr>
      </w:pPr>
    </w:p>
    <w:p w14:paraId="3750EDC9" w14:textId="77777777" w:rsidR="002541AD" w:rsidRDefault="00901AA6">
      <w:pPr>
        <w:spacing w:line="288" w:lineRule="auto"/>
        <w:rPr>
          <w:rFonts w:ascii="Times New Roman" w:hAnsi="Times New Roman"/>
          <w:sz w:val="20"/>
          <w:szCs w:val="20"/>
        </w:rPr>
      </w:pPr>
      <w:r>
        <w:rPr>
          <w:rFonts w:ascii="Arial" w:eastAsia="宋体" w:hAnsi="Arial" w:cs="Arial"/>
          <w:b/>
          <w:bCs/>
          <w:color w:val="333333"/>
          <w:sz w:val="20"/>
          <w:szCs w:val="20"/>
        </w:rPr>
        <w:t>European Commission Competition Matter</w:t>
      </w:r>
    </w:p>
    <w:p w14:paraId="3750EDCA"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In 2001, the EC commenced an investig</w:t>
      </w:r>
      <w:r>
        <w:rPr>
          <w:rFonts w:ascii="Arial" w:eastAsia="宋体" w:hAnsi="Arial" w:cs="Arial"/>
          <w:color w:val="333333"/>
          <w:sz w:val="18"/>
          <w:szCs w:val="18"/>
        </w:rPr>
        <w:t xml:space="preserve">ation regarding claims by Advanced Micro Devices, Inc. (AMD) that we used unfair business practices to persuade customers to buy our microprocessors. We received numerous requests for information and documents from the EC and we responded to each of those </w:t>
      </w:r>
      <w:r>
        <w:rPr>
          <w:rFonts w:ascii="Arial" w:eastAsia="宋体" w:hAnsi="Arial" w:cs="Arial"/>
          <w:color w:val="333333"/>
          <w:sz w:val="18"/>
          <w:szCs w:val="18"/>
        </w:rPr>
        <w:t>requests. The EC issued a Statement of Objections in July 2007 and held a hearing on that Statement in March 2008. The EC issued a Supplemental Statement of Objections in July 2008. In May 2009, the EC issued a decision finding that we had violated Article</w:t>
      </w:r>
      <w:r>
        <w:rPr>
          <w:rFonts w:ascii="Arial" w:eastAsia="宋体" w:hAnsi="Arial" w:cs="Arial"/>
          <w:color w:val="333333"/>
          <w:sz w:val="18"/>
          <w:szCs w:val="18"/>
        </w:rPr>
        <w:t xml:space="preserve"> 82 of the EC Treaty and Article 54 of the European Economic Area Agreement. In general, the EC found that we violated Article 82 (later renumbered as Article 102 by a new treaty) by offering alleged "conditional rebates and payments" that required our cus</w:t>
      </w:r>
      <w:r>
        <w:rPr>
          <w:rFonts w:ascii="Arial" w:eastAsia="宋体" w:hAnsi="Arial" w:cs="Arial"/>
          <w:color w:val="333333"/>
          <w:sz w:val="18"/>
          <w:szCs w:val="18"/>
        </w:rPr>
        <w:t>tomers to purchase all or most of their x86 microprocessors from us. The EC also found that we violated Article 82 by making alleged "payments to prevent sales of specific rival products." The EC imposed a fine in the amount of €1.1 billion ($1.4 billion a</w:t>
      </w:r>
      <w:r>
        <w:rPr>
          <w:rFonts w:ascii="Arial" w:eastAsia="宋体" w:hAnsi="Arial" w:cs="Arial"/>
          <w:color w:val="333333"/>
          <w:sz w:val="18"/>
          <w:szCs w:val="18"/>
        </w:rPr>
        <w:t>s of May 2009), which we subsequently paid during the third quarter of 2009, and ordered us to "immediately bring to an end the infringement referred to in" the EC decision.</w:t>
      </w:r>
    </w:p>
    <w:p w14:paraId="3750EDCB"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The EC decision contained no specific direction on whether or how we should modify</w:t>
      </w:r>
      <w:r>
        <w:rPr>
          <w:rFonts w:ascii="Arial" w:eastAsia="宋体" w:hAnsi="Arial" w:cs="Arial"/>
          <w:color w:val="333333"/>
          <w:sz w:val="18"/>
          <w:szCs w:val="18"/>
        </w:rPr>
        <w:t xml:space="preserve"> our business practices. Instead, the decision stated that we should "cease and desist" from further conduct that, in the EC's opinion, would violate applicable law. We took steps, which are subject to the EC's ongoing review, to comply with that decision </w:t>
      </w:r>
      <w:r>
        <w:rPr>
          <w:rFonts w:ascii="Arial" w:eastAsia="宋体" w:hAnsi="Arial" w:cs="Arial"/>
          <w:color w:val="333333"/>
          <w:sz w:val="18"/>
          <w:szCs w:val="18"/>
        </w:rPr>
        <w:t>pending appeal. We had discussions with the EC to better understand the decision and to explain changes to our business practices.</w:t>
      </w:r>
    </w:p>
    <w:p w14:paraId="3750EDCC"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We appealed the EC decision to the Court of First Instance (which has been renamed the General Court) in July 2009. The heari</w:t>
      </w:r>
      <w:r>
        <w:rPr>
          <w:rFonts w:ascii="Arial" w:eastAsia="宋体" w:hAnsi="Arial" w:cs="Arial"/>
          <w:color w:val="333333"/>
          <w:sz w:val="18"/>
          <w:szCs w:val="18"/>
        </w:rPr>
        <w:t>ng of our appeal took place in July 2012. In June 2014, the General Court rejected our appeal in its entirety. In August 2014, we filed an appeal with the European Court of Justice. In November 2014, Intervener Association for Competitive Technologies file</w:t>
      </w:r>
      <w:r>
        <w:rPr>
          <w:rFonts w:ascii="Arial" w:eastAsia="宋体" w:hAnsi="Arial" w:cs="Arial"/>
          <w:color w:val="333333"/>
          <w:sz w:val="18"/>
          <w:szCs w:val="18"/>
        </w:rPr>
        <w:t xml:space="preserve">d comments in support of Intel’s grounds of appeal. The EC and interveners filed briefs in November 2014, we filed a reply in February 2015, and the EC filed a rejoinder in April 2015. The Court of Justice held oral argument in June 2016. In October 2016, </w:t>
      </w:r>
      <w:r>
        <w:rPr>
          <w:rFonts w:ascii="Arial" w:eastAsia="宋体" w:hAnsi="Arial" w:cs="Arial"/>
          <w:color w:val="333333"/>
          <w:sz w:val="18"/>
          <w:szCs w:val="18"/>
        </w:rPr>
        <w:t>Advocate General Wahl, an advisor to the Court of Justice, issued a non-binding advisory opinion that favored Intel on a number of grounds. The Court of Justice issued its decision in September 2017, setting aside the judgment of the General Court and send</w:t>
      </w:r>
      <w:r>
        <w:rPr>
          <w:rFonts w:ascii="Arial" w:eastAsia="宋体" w:hAnsi="Arial" w:cs="Arial"/>
          <w:color w:val="333333"/>
          <w:sz w:val="18"/>
          <w:szCs w:val="18"/>
        </w:rPr>
        <w:t>ing the case back to the General Court to examine whether the rebates at issue were capable of restricting competition. The General Court has appointed a panel of five judges to consider our appeal of the EC’s 2009 decision in light of the Court of Justice</w:t>
      </w:r>
      <w:r>
        <w:rPr>
          <w:rFonts w:ascii="Arial" w:eastAsia="宋体" w:hAnsi="Arial" w:cs="Arial"/>
          <w:color w:val="333333"/>
          <w:sz w:val="18"/>
          <w:szCs w:val="18"/>
        </w:rPr>
        <w:t>’s clarifications of the law. In November 2017, the parties filed initial “Observations” about the Court of Justice’s decision and the appeal and were invited by the General Court to offer supplemental comments to each other’s “Observations,” which the par</w:t>
      </w:r>
      <w:r>
        <w:rPr>
          <w:rFonts w:ascii="Arial" w:eastAsia="宋体" w:hAnsi="Arial" w:cs="Arial"/>
          <w:color w:val="333333"/>
          <w:sz w:val="18"/>
          <w:szCs w:val="18"/>
        </w:rPr>
        <w:t>ties submitted in March 2018. Responses to other questions posed by the General Court were filed in May and June 2018. The General Court heard oral argument in March 2020. Pending the final decision in this matter, the fine paid by Intel has been placed by</w:t>
      </w:r>
      <w:r>
        <w:rPr>
          <w:rFonts w:ascii="Arial" w:eastAsia="宋体" w:hAnsi="Arial" w:cs="Arial"/>
          <w:color w:val="333333"/>
          <w:sz w:val="18"/>
          <w:szCs w:val="18"/>
        </w:rPr>
        <w:t xml:space="preserve"> the EC in commercial bank accounts where it accrues interest.</w:t>
      </w:r>
    </w:p>
    <w:p w14:paraId="3750EDCD" w14:textId="77777777" w:rsidR="002541AD" w:rsidRDefault="00901AA6">
      <w:pPr>
        <w:spacing w:line="288" w:lineRule="auto"/>
        <w:rPr>
          <w:rFonts w:ascii="Times New Roman" w:hAnsi="Times New Roman"/>
          <w:sz w:val="20"/>
          <w:szCs w:val="20"/>
        </w:rPr>
      </w:pPr>
      <w:r>
        <w:rPr>
          <w:rFonts w:ascii="Arial" w:eastAsia="宋体" w:hAnsi="Arial" w:cs="Arial"/>
          <w:b/>
          <w:bCs/>
          <w:color w:val="333333"/>
          <w:sz w:val="20"/>
          <w:szCs w:val="20"/>
        </w:rPr>
        <w:t>Litigation Related to Security Vulnerabilities</w:t>
      </w:r>
    </w:p>
    <w:p w14:paraId="3750EDCE"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In June 2017, a Google research team notified us and other companies that it had identified security vulnerabilities (now commonly referred to as </w:t>
      </w:r>
      <w:r>
        <w:rPr>
          <w:rFonts w:ascii="Arial" w:eastAsia="宋体" w:hAnsi="Arial" w:cs="Arial"/>
          <w:color w:val="333333"/>
          <w:sz w:val="18"/>
          <w:szCs w:val="18"/>
        </w:rPr>
        <w:t>“Spectre” and “Meltdown”) that affect many types of microprocessors, including our products. As is standard when findings like these are presented, we worked together with other companies in the industry to verify the research and develop and validate soft</w:t>
      </w:r>
      <w:r>
        <w:rPr>
          <w:rFonts w:ascii="Arial" w:eastAsia="宋体" w:hAnsi="Arial" w:cs="Arial"/>
          <w:color w:val="333333"/>
          <w:sz w:val="18"/>
          <w:szCs w:val="18"/>
        </w:rPr>
        <w:t>ware and firmware updates for impacted technologies. On January 3, 2018, information on the security vulnerabilities was publicly reported, before software and firmware updates to address the vulnerabilities were made widely available. Numerous lawsuits re</w:t>
      </w:r>
      <w:r>
        <w:rPr>
          <w:rFonts w:ascii="Arial" w:eastAsia="宋体" w:hAnsi="Arial" w:cs="Arial"/>
          <w:color w:val="333333"/>
          <w:sz w:val="18"/>
          <w:szCs w:val="18"/>
        </w:rPr>
        <w:t>lating to the Spectre and Meltdown security vulnerabilities, as well as another variant of these vulnerabilities (“Foreshadow”) that has since been identified, have been filed against Intel and, in certain cases, our current and former executives and direc</w:t>
      </w:r>
      <w:r>
        <w:rPr>
          <w:rFonts w:ascii="Arial" w:eastAsia="宋体" w:hAnsi="Arial" w:cs="Arial"/>
          <w:color w:val="333333"/>
          <w:sz w:val="18"/>
          <w:szCs w:val="18"/>
        </w:rPr>
        <w:t>tors, in U.S. federal and state courts and in certain courts in other countries.</w:t>
      </w:r>
    </w:p>
    <w:p w14:paraId="3750EDCF"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As of April 22, 2020, consumer class action lawsuits relating to certain security vulnerabilities publicly disclosed in 2018 were pending in the U.S., Canada, and Israel. The </w:t>
      </w:r>
      <w:r>
        <w:rPr>
          <w:rFonts w:ascii="Arial" w:eastAsia="宋体" w:hAnsi="Arial" w:cs="Arial"/>
          <w:color w:val="333333"/>
          <w:sz w:val="18"/>
          <w:szCs w:val="18"/>
        </w:rPr>
        <w:t>plaintiffs, who purport to represent various classes of purchasers of our products, generally claim to have been harmed by Intel's actions and/or omissions in connection with the security vulnerabilities and assert a variety of common law and statutory cla</w:t>
      </w:r>
      <w:r>
        <w:rPr>
          <w:rFonts w:ascii="Arial" w:eastAsia="宋体" w:hAnsi="Arial" w:cs="Arial"/>
          <w:color w:val="333333"/>
          <w:sz w:val="18"/>
          <w:szCs w:val="18"/>
        </w:rPr>
        <w:t>ims seeking monetary damages and equitable relief. In the U.S., numerous individual class action suits filed in various jurisdictions were consolidated in April 2018 for all pretrial proceedings in the U.S. District Court for the District of Oregon. In Mar</w:t>
      </w:r>
      <w:r>
        <w:rPr>
          <w:rFonts w:ascii="Arial" w:eastAsia="宋体" w:hAnsi="Arial" w:cs="Arial"/>
          <w:color w:val="333333"/>
          <w:sz w:val="18"/>
          <w:szCs w:val="18"/>
        </w:rPr>
        <w:t>ch 2020, the court granted Intel's motion to dismiss the complaint in that consolidated action, but granted plaintiffs leave to file an amended complaint. In Canada, in one case pending in the Superior Court of Justice of Ontario, an initial status confere</w:t>
      </w:r>
      <w:r>
        <w:rPr>
          <w:rFonts w:ascii="Arial" w:eastAsia="宋体" w:hAnsi="Arial" w:cs="Arial"/>
          <w:color w:val="333333"/>
          <w:sz w:val="18"/>
          <w:szCs w:val="18"/>
        </w:rPr>
        <w:t>nce has not yet been scheduled. In a second case pending in the Superior Court of Justice of Quebec, the court has stayed the case until April 2020. In Israel, both consumer class action lawsuits were filed in the District Court of Haifa. In the first case</w:t>
      </w:r>
      <w:r>
        <w:rPr>
          <w:rFonts w:ascii="Arial" w:eastAsia="宋体" w:hAnsi="Arial" w:cs="Arial"/>
          <w:color w:val="333333"/>
          <w:sz w:val="18"/>
          <w:szCs w:val="18"/>
        </w:rPr>
        <w:t>, the District Court denied the parties' joint motion to stay filed in January 2019, but to date has deferred Intel's deadline to respond to the complaint in view of Intel's pending motion to dismiss in the consolidated proceeding in the U.S. Intel filed a</w:t>
      </w:r>
      <w:r>
        <w:rPr>
          <w:rFonts w:ascii="Arial" w:eastAsia="宋体" w:hAnsi="Arial" w:cs="Arial"/>
          <w:color w:val="333333"/>
          <w:sz w:val="18"/>
          <w:szCs w:val="18"/>
        </w:rPr>
        <w:t xml:space="preserve"> motion to stay the second case pending resolution of the consolidated proceeding in the U.S., and a hearing on that motion has been scheduled for May 2020. Additional lawsuits and claims may be asserted seeking monetary damages or other related relief. We</w:t>
      </w:r>
      <w:r>
        <w:rPr>
          <w:rFonts w:ascii="Arial" w:eastAsia="宋体" w:hAnsi="Arial" w:cs="Arial"/>
          <w:color w:val="333333"/>
          <w:sz w:val="18"/>
          <w:szCs w:val="18"/>
        </w:rPr>
        <w:t xml:space="preserve"> dispute the pending claims described above and intend to defend those lawsuits vigorously. Given the procedural posture and the nature of those cases, including that the pending proceedings are in the early stages, that alleged damages have not been speci</w:t>
      </w:r>
      <w:r>
        <w:rPr>
          <w:rFonts w:ascii="Arial" w:eastAsia="宋体" w:hAnsi="Arial" w:cs="Arial"/>
          <w:color w:val="333333"/>
          <w:sz w:val="18"/>
          <w:szCs w:val="18"/>
        </w:rPr>
        <w:t>fied, that uncertainty exists as to the likelihood of a class or classes being certified or the ultimate size of any class or classes if certified, and that there are significant factual and legal issues to be resolved, we are unable to make a reasonable e</w:t>
      </w:r>
      <w:r>
        <w:rPr>
          <w:rFonts w:ascii="Arial" w:eastAsia="宋体" w:hAnsi="Arial" w:cs="Arial"/>
          <w:color w:val="333333"/>
          <w:sz w:val="18"/>
          <w:szCs w:val="18"/>
        </w:rPr>
        <w:t>stimate of the potential loss or range of losses, if any, that might arise from those matters.</w:t>
      </w:r>
    </w:p>
    <w:p w14:paraId="3750EDD0"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EDD2" w14:textId="77777777">
        <w:tc>
          <w:tcPr>
            <w:tcW w:w="0" w:type="auto"/>
            <w:gridSpan w:val="3"/>
            <w:shd w:val="clear" w:color="auto" w:fill="auto"/>
            <w:vAlign w:val="center"/>
          </w:tcPr>
          <w:p w14:paraId="3750EDD1" w14:textId="77777777" w:rsidR="002541AD" w:rsidRDefault="002541AD">
            <w:pPr>
              <w:rPr>
                <w:rFonts w:ascii="Times New Roman" w:hAnsi="Times New Roman"/>
                <w:sz w:val="20"/>
                <w:szCs w:val="20"/>
              </w:rPr>
            </w:pPr>
          </w:p>
        </w:tc>
      </w:tr>
      <w:tr w:rsidR="002541AD" w14:paraId="3750EDD6" w14:textId="77777777">
        <w:tc>
          <w:tcPr>
            <w:tcW w:w="1550" w:type="pct"/>
            <w:shd w:val="clear" w:color="auto" w:fill="auto"/>
            <w:vAlign w:val="center"/>
          </w:tcPr>
          <w:p w14:paraId="3750EDD3" w14:textId="77777777" w:rsidR="002541AD" w:rsidRDefault="002541AD">
            <w:pPr>
              <w:rPr>
                <w:rFonts w:ascii="Times New Roman" w:hAnsi="Times New Roman"/>
                <w:sz w:val="20"/>
                <w:szCs w:val="20"/>
              </w:rPr>
            </w:pPr>
          </w:p>
        </w:tc>
        <w:tc>
          <w:tcPr>
            <w:tcW w:w="2200" w:type="pct"/>
            <w:shd w:val="clear" w:color="auto" w:fill="auto"/>
            <w:vAlign w:val="center"/>
          </w:tcPr>
          <w:p w14:paraId="3750EDD4" w14:textId="77777777" w:rsidR="002541AD" w:rsidRDefault="002541AD">
            <w:pPr>
              <w:rPr>
                <w:rFonts w:ascii="Times New Roman" w:hAnsi="Times New Roman"/>
                <w:sz w:val="20"/>
                <w:szCs w:val="20"/>
              </w:rPr>
            </w:pPr>
          </w:p>
        </w:tc>
        <w:tc>
          <w:tcPr>
            <w:tcW w:w="1250" w:type="pct"/>
            <w:shd w:val="clear" w:color="auto" w:fill="auto"/>
            <w:vAlign w:val="center"/>
          </w:tcPr>
          <w:p w14:paraId="3750EDD5" w14:textId="77777777" w:rsidR="002541AD" w:rsidRDefault="002541AD">
            <w:pPr>
              <w:rPr>
                <w:rFonts w:ascii="Times New Roman" w:hAnsi="Times New Roman"/>
                <w:sz w:val="20"/>
                <w:szCs w:val="20"/>
              </w:rPr>
            </w:pPr>
          </w:p>
        </w:tc>
      </w:tr>
      <w:tr w:rsidR="002541AD" w14:paraId="3750EDDA" w14:textId="77777777">
        <w:tc>
          <w:tcPr>
            <w:tcW w:w="0" w:type="auto"/>
            <w:tcBorders>
              <w:top w:val="single" w:sz="8" w:space="0" w:color="0071C5"/>
              <w:right w:val="single" w:sz="24" w:space="0" w:color="0071C5"/>
            </w:tcBorders>
            <w:shd w:val="clear" w:color="auto" w:fill="auto"/>
            <w:tcMar>
              <w:top w:w="40" w:type="dxa"/>
              <w:left w:w="40" w:type="dxa"/>
              <w:bottom w:w="40" w:type="dxa"/>
              <w:right w:w="40" w:type="dxa"/>
            </w:tcMar>
            <w:vAlign w:val="center"/>
          </w:tcPr>
          <w:p w14:paraId="3750EDD7"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86" wp14:editId="3750F887">
                  <wp:extent cx="304800" cy="304800"/>
                  <wp:effectExtent l="0" t="0" r="0" b="0"/>
                  <wp:docPr id="94" name="图片 87"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87"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DD8"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DD9"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24</w:t>
            </w:r>
          </w:p>
        </w:tc>
      </w:tr>
    </w:tbl>
    <w:p w14:paraId="3750EDDB" w14:textId="77777777" w:rsidR="002541AD" w:rsidRDefault="002541AD">
      <w:pPr>
        <w:spacing w:line="288" w:lineRule="auto"/>
        <w:rPr>
          <w:rFonts w:ascii="Times New Roman" w:hAnsi="Times New Roman"/>
          <w:sz w:val="18"/>
          <w:szCs w:val="18"/>
        </w:rPr>
      </w:pPr>
    </w:p>
    <w:p w14:paraId="3750EDDC" w14:textId="77777777" w:rsidR="002541AD" w:rsidRDefault="002541AD">
      <w:pPr>
        <w:spacing w:line="288" w:lineRule="auto"/>
        <w:rPr>
          <w:rFonts w:ascii="Times New Roman" w:hAnsi="Times New Roman"/>
          <w:sz w:val="18"/>
          <w:szCs w:val="18"/>
        </w:rPr>
      </w:pPr>
    </w:p>
    <w:p w14:paraId="3750EDDD" w14:textId="77777777" w:rsidR="002541AD" w:rsidRDefault="00901AA6">
      <w:r>
        <w:rPr>
          <w:rFonts w:ascii="Times New Roman" w:hAnsi="Times New Roman"/>
          <w:sz w:val="18"/>
          <w:szCs w:val="18"/>
        </w:rPr>
        <w:pict w14:anchorId="3750F888">
          <v:rect id="_x0000_i1050" style="width:415.3pt;height:1.5pt" o:hralign="center" o:hrstd="t" o:hr="t" fillcolor="#a0a0a0" stroked="f"/>
        </w:pict>
      </w:r>
    </w:p>
    <w:p w14:paraId="3750EDDE" w14:textId="77777777" w:rsidR="002541AD" w:rsidRDefault="00901AA6">
      <w:pPr>
        <w:spacing w:line="288" w:lineRule="auto"/>
        <w:jc w:val="right"/>
        <w:rPr>
          <w:rFonts w:ascii="Times New Roman" w:hAnsi="Times New Roman"/>
          <w:sz w:val="16"/>
          <w:szCs w:val="16"/>
        </w:rPr>
      </w:pPr>
      <w:hyperlink r:id="rId53" w:anchor="s2CABEAF4222C52B4A34547BF538A8C27" w:history="1">
        <w:r>
          <w:rPr>
            <w:rStyle w:val="a5"/>
            <w:rFonts w:ascii="Arial" w:eastAsia="宋体" w:hAnsi="Arial" w:cs="Arial"/>
            <w:b/>
            <w:bCs/>
            <w:sz w:val="16"/>
            <w:szCs w:val="16"/>
          </w:rPr>
          <w:t>Table of Contents</w:t>
        </w:r>
      </w:hyperlink>
    </w:p>
    <w:p w14:paraId="3750EDDF" w14:textId="77777777" w:rsidR="002541AD" w:rsidRDefault="002541AD">
      <w:pPr>
        <w:spacing w:line="288" w:lineRule="auto"/>
        <w:jc w:val="right"/>
        <w:rPr>
          <w:rFonts w:ascii="Times New Roman" w:hAnsi="Times New Roman"/>
          <w:sz w:val="18"/>
          <w:szCs w:val="18"/>
        </w:rPr>
      </w:pPr>
    </w:p>
    <w:p w14:paraId="3750EDE0" w14:textId="77777777" w:rsidR="002541AD" w:rsidRDefault="002541AD">
      <w:pPr>
        <w:rPr>
          <w:rFonts w:ascii="Times New Roman" w:hAnsi="Times New Roman"/>
          <w:sz w:val="20"/>
          <w:szCs w:val="20"/>
        </w:rPr>
      </w:pPr>
    </w:p>
    <w:p w14:paraId="3750EDE1"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In addition to these lawsuits, Intel stockholders filed multiple shareholder</w:t>
      </w:r>
      <w:r>
        <w:rPr>
          <w:rFonts w:ascii="Arial" w:eastAsia="宋体" w:hAnsi="Arial" w:cs="Arial"/>
          <w:color w:val="333333"/>
          <w:sz w:val="18"/>
          <w:szCs w:val="18"/>
        </w:rPr>
        <w:t xml:space="preserve"> derivative lawsuits since January 2018 against certain current and former members of our Board of Directors and certain current and former officers, alleging that the defendants breached their duties to Intel in connection with the disclosure of the secur</w:t>
      </w:r>
      <w:r>
        <w:rPr>
          <w:rFonts w:ascii="Arial" w:eastAsia="宋体" w:hAnsi="Arial" w:cs="Arial"/>
          <w:color w:val="333333"/>
          <w:sz w:val="18"/>
          <w:szCs w:val="18"/>
        </w:rPr>
        <w:t>ity vulnerabilities and the failure to take action in relation to alleged insider trading. The complaints sought to recover damages from the defendants on behalf of Intel. Some of the derivative actions were filed in the U.S. District Court for the Norther</w:t>
      </w:r>
      <w:r>
        <w:rPr>
          <w:rFonts w:ascii="Arial" w:eastAsia="宋体" w:hAnsi="Arial" w:cs="Arial"/>
          <w:color w:val="333333"/>
          <w:sz w:val="18"/>
          <w:szCs w:val="18"/>
        </w:rPr>
        <w:t xml:space="preserve">n District of California and were consolidated, and the others were filed in the Superior Court of the State of California in San Mateo County and were consolidated. The federal court granted defendants' motion to dismiss the consolidated complaint in the </w:t>
      </w:r>
      <w:r>
        <w:rPr>
          <w:rFonts w:ascii="Arial" w:eastAsia="宋体" w:hAnsi="Arial" w:cs="Arial"/>
          <w:color w:val="333333"/>
          <w:sz w:val="18"/>
          <w:szCs w:val="18"/>
        </w:rPr>
        <w:t>federal action in August 2018 on the ground that plaintiffs failed to plead facts sufficient to show they were excused from making a pre-lawsuit demand on the Board. The federal court granted plaintiffs leave to amend their complaint, but subsequently dism</w:t>
      </w:r>
      <w:r>
        <w:rPr>
          <w:rFonts w:ascii="Arial" w:eastAsia="宋体" w:hAnsi="Arial" w:cs="Arial"/>
          <w:color w:val="333333"/>
          <w:sz w:val="18"/>
          <w:szCs w:val="18"/>
        </w:rPr>
        <w:t>issed the cases without prejudice in January 2019 at plaintiffs' request. In August 2018, the California Superior Court granted defendants' motion to dismiss the consolidated complaint in the state court action on the ground that plaintiffs failed to plead</w:t>
      </w:r>
      <w:r>
        <w:rPr>
          <w:rFonts w:ascii="Arial" w:eastAsia="宋体" w:hAnsi="Arial" w:cs="Arial"/>
          <w:color w:val="333333"/>
          <w:sz w:val="18"/>
          <w:szCs w:val="18"/>
        </w:rPr>
        <w:t xml:space="preserve"> facts sufficient to show they were excused from making a pre-lawsuit demand on the Board, but granted plaintiffs leave to amend. The court subsequently granted defendants' motion to dismiss plaintiffs' first, second, and third amended complaints, on the s</w:t>
      </w:r>
      <w:r>
        <w:rPr>
          <w:rFonts w:ascii="Arial" w:eastAsia="宋体" w:hAnsi="Arial" w:cs="Arial"/>
          <w:color w:val="333333"/>
          <w:sz w:val="18"/>
          <w:szCs w:val="18"/>
        </w:rPr>
        <w:t>ame ground, and in March 2020 granted defendants' motion to dismiss plaintiffs' third amended complaint without granting plaintiffs leave to amend. Plaintiffs filed a motion for reconsideration of the court's final order of dismissal, which is scheduled fo</w:t>
      </w:r>
      <w:r>
        <w:rPr>
          <w:rFonts w:ascii="Arial" w:eastAsia="宋体" w:hAnsi="Arial" w:cs="Arial"/>
          <w:color w:val="333333"/>
          <w:sz w:val="18"/>
          <w:szCs w:val="18"/>
        </w:rPr>
        <w:t>r hearing in June 2020.</w:t>
      </w:r>
    </w:p>
    <w:p w14:paraId="3750EDE2" w14:textId="77777777" w:rsidR="002541AD" w:rsidRDefault="00901AA6">
      <w:pPr>
        <w:spacing w:line="288" w:lineRule="auto"/>
        <w:rPr>
          <w:rFonts w:ascii="Times New Roman" w:hAnsi="Times New Roman"/>
          <w:sz w:val="20"/>
          <w:szCs w:val="20"/>
        </w:rPr>
      </w:pPr>
      <w:r>
        <w:rPr>
          <w:rFonts w:ascii="Arial" w:eastAsia="宋体" w:hAnsi="Arial" w:cs="Arial"/>
          <w:b/>
          <w:bCs/>
          <w:color w:val="333333"/>
          <w:sz w:val="20"/>
          <w:szCs w:val="20"/>
        </w:rPr>
        <w:t>Institute of Microelectronics, Chinese Academy of Sciences v. Intel China, Ltd., et al.</w:t>
      </w:r>
    </w:p>
    <w:p w14:paraId="3750EDE3"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In February 2018, the Institute of Microelectronics of the Chinese Academy of Sciences (IMECAS) sued Intel China, Ltd., Dell China, Ltd. </w:t>
      </w:r>
      <w:r>
        <w:rPr>
          <w:rFonts w:ascii="Arial" w:eastAsia="宋体" w:hAnsi="Arial" w:cs="Arial"/>
          <w:color w:val="333333"/>
          <w:sz w:val="18"/>
          <w:szCs w:val="18"/>
        </w:rPr>
        <w:t>(Dell) and Beijing JingDong Century Information Technology, Ltd. (JD) for patent infringement in the Beijing High Court. IMECAS alleges that Intel’s Core series processors infringe Chinese patent CN 102956457 (’457 Patent). The complaint demands an injunct</w:t>
      </w:r>
      <w:r>
        <w:rPr>
          <w:rFonts w:ascii="Arial" w:eastAsia="宋体" w:hAnsi="Arial" w:cs="Arial"/>
          <w:color w:val="333333"/>
          <w:sz w:val="18"/>
          <w:szCs w:val="18"/>
        </w:rPr>
        <w:t>ion and damages of at least RMB 200,000,000 plus the cost of litigation. A trial date is not yet set. In March 2018, Dell tendered indemnity to Intel, which Intel granted in April 2018. JD also tendered indemnity to Intel, which Intel granted in October 20</w:t>
      </w:r>
      <w:r>
        <w:rPr>
          <w:rFonts w:ascii="Arial" w:eastAsia="宋体" w:hAnsi="Arial" w:cs="Arial"/>
          <w:color w:val="333333"/>
          <w:sz w:val="18"/>
          <w:szCs w:val="18"/>
        </w:rPr>
        <w:t xml:space="preserve">18. In March 2018, Intel filed an invalidation request on the ‘457 patent with the Chinese Patent Reexamination Board (PRB). The PRB held an oral hearing in September 2018 and in February 2019 upheld the validity of the challenged claims. In January 2020, </w:t>
      </w:r>
      <w:r>
        <w:rPr>
          <w:rFonts w:ascii="Arial" w:eastAsia="宋体" w:hAnsi="Arial" w:cs="Arial"/>
          <w:color w:val="333333"/>
          <w:sz w:val="18"/>
          <w:szCs w:val="18"/>
        </w:rPr>
        <w:t>Intel filed a second invalidation request on the ‘457 patent with the PRB. In September 2018 and March 2019, Intel filed petitions with the United States Patent &amp; Trademark Office (USPTO) requesting institution of inter partes review (IPR) of U.S. Patent N</w:t>
      </w:r>
      <w:r>
        <w:rPr>
          <w:rFonts w:ascii="Arial" w:eastAsia="宋体" w:hAnsi="Arial" w:cs="Arial"/>
          <w:color w:val="333333"/>
          <w:sz w:val="18"/>
          <w:szCs w:val="18"/>
        </w:rPr>
        <w:t xml:space="preserve">o. 9,070,719, the U.S. counterpart to the ‘457 patent. The USPTO denied institution of Intel’s petitions in March and October 2019, respectively. In April 2019, Intel filed a request for rehearing and a petition for Precedential Opinion Panel (POP) in the </w:t>
      </w:r>
      <w:r>
        <w:rPr>
          <w:rFonts w:ascii="Arial" w:eastAsia="宋体" w:hAnsi="Arial" w:cs="Arial"/>
          <w:color w:val="333333"/>
          <w:sz w:val="18"/>
          <w:szCs w:val="18"/>
        </w:rPr>
        <w:t>USPTO to challenge the denial of its first IPR petition, and in November 2019 Intel filed a request for rehearing on the second IPR petition. In January 2020, the USPTO denied the rehearing and petition on the first IPR petition.</w:t>
      </w:r>
    </w:p>
    <w:p w14:paraId="3750EDE4"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In October 2019, IMECAS fi</w:t>
      </w:r>
      <w:r>
        <w:rPr>
          <w:rFonts w:ascii="Arial" w:eastAsia="宋体" w:hAnsi="Arial" w:cs="Arial"/>
          <w:color w:val="333333"/>
          <w:sz w:val="18"/>
          <w:szCs w:val="18"/>
        </w:rPr>
        <w:t>led second and third lawsuits, in the Beijing IP Court, alleging infringement of Chinese Patent No. CN 102386226 (‘226 Patent) based on the manufacturing and sale of Intel’s Core i3 microprocessors. Defendants in the second case are Lenovo (Beijing) Co., L</w:t>
      </w:r>
      <w:r>
        <w:rPr>
          <w:rFonts w:ascii="Arial" w:eastAsia="宋体" w:hAnsi="Arial" w:cs="Arial"/>
          <w:color w:val="333333"/>
          <w:sz w:val="18"/>
          <w:szCs w:val="18"/>
        </w:rPr>
        <w:t>td. (Lenovo) and Beijing Jiayun Huitong Technology Development Co. Ltd. (BJHT). Defendants in the third case are Intel Corp., Intel China Co., Ltd., the Intel China Beijing Branch, Beijing Digital China Co., Ltd. (Digital China), and JD. Both complaints de</w:t>
      </w:r>
      <w:r>
        <w:rPr>
          <w:rFonts w:ascii="Arial" w:eastAsia="宋体" w:hAnsi="Arial" w:cs="Arial"/>
          <w:color w:val="333333"/>
          <w:sz w:val="18"/>
          <w:szCs w:val="18"/>
        </w:rPr>
        <w:t>mand injunctions plus litigation costs and reserve the right to claim damages in unspecified amounts. No proceedings have occurred or are yet scheduled in these lawsuits. In December 2019, Lenovo tendered indemnity to Intel, which Intel granted in March 20</w:t>
      </w:r>
      <w:r>
        <w:rPr>
          <w:rFonts w:ascii="Arial" w:eastAsia="宋体" w:hAnsi="Arial" w:cs="Arial"/>
          <w:color w:val="333333"/>
          <w:sz w:val="18"/>
          <w:szCs w:val="18"/>
        </w:rPr>
        <w:t>20. Given the procedural posture and the nature of these cases, the unspecified nature and extent of damages claimed by IMECAS, and uncertainty regarding the availability of injunctive relief under applicable law, we are unable to make a reasonable estimat</w:t>
      </w:r>
      <w:r>
        <w:rPr>
          <w:rFonts w:ascii="Arial" w:eastAsia="宋体" w:hAnsi="Arial" w:cs="Arial"/>
          <w:color w:val="333333"/>
          <w:sz w:val="18"/>
          <w:szCs w:val="18"/>
        </w:rPr>
        <w:t>e of the potential loss or range of losses, if any, arising from these matters. We dispute IMECAS’s claims and intend to vigorously defend against them.</w:t>
      </w:r>
    </w:p>
    <w:p w14:paraId="3750EDE5" w14:textId="77777777" w:rsidR="002541AD" w:rsidRDefault="002541AD">
      <w:pPr>
        <w:spacing w:line="288" w:lineRule="auto"/>
        <w:rPr>
          <w:rFonts w:ascii="Times New Roman" w:hAnsi="Times New Roman"/>
          <w:sz w:val="18"/>
          <w:szCs w:val="18"/>
        </w:rPr>
      </w:pPr>
    </w:p>
    <w:p w14:paraId="3750EDE6"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EDE8" w14:textId="77777777">
        <w:tc>
          <w:tcPr>
            <w:tcW w:w="0" w:type="auto"/>
            <w:gridSpan w:val="3"/>
            <w:shd w:val="clear" w:color="auto" w:fill="auto"/>
            <w:vAlign w:val="center"/>
          </w:tcPr>
          <w:p w14:paraId="3750EDE7" w14:textId="77777777" w:rsidR="002541AD" w:rsidRDefault="002541AD">
            <w:pPr>
              <w:rPr>
                <w:rFonts w:ascii="Times New Roman" w:hAnsi="Times New Roman"/>
                <w:sz w:val="20"/>
                <w:szCs w:val="20"/>
              </w:rPr>
            </w:pPr>
          </w:p>
        </w:tc>
      </w:tr>
      <w:tr w:rsidR="002541AD" w14:paraId="3750EDEC" w14:textId="77777777">
        <w:tc>
          <w:tcPr>
            <w:tcW w:w="1550" w:type="pct"/>
            <w:shd w:val="clear" w:color="auto" w:fill="auto"/>
            <w:vAlign w:val="center"/>
          </w:tcPr>
          <w:p w14:paraId="3750EDE9" w14:textId="77777777" w:rsidR="002541AD" w:rsidRDefault="002541AD">
            <w:pPr>
              <w:rPr>
                <w:rFonts w:ascii="Times New Roman" w:hAnsi="Times New Roman"/>
                <w:sz w:val="20"/>
                <w:szCs w:val="20"/>
              </w:rPr>
            </w:pPr>
          </w:p>
        </w:tc>
        <w:tc>
          <w:tcPr>
            <w:tcW w:w="2200" w:type="pct"/>
            <w:shd w:val="clear" w:color="auto" w:fill="auto"/>
            <w:vAlign w:val="center"/>
          </w:tcPr>
          <w:p w14:paraId="3750EDEA" w14:textId="77777777" w:rsidR="002541AD" w:rsidRDefault="002541AD">
            <w:pPr>
              <w:rPr>
                <w:rFonts w:ascii="Times New Roman" w:hAnsi="Times New Roman"/>
                <w:sz w:val="20"/>
                <w:szCs w:val="20"/>
              </w:rPr>
            </w:pPr>
          </w:p>
        </w:tc>
        <w:tc>
          <w:tcPr>
            <w:tcW w:w="1250" w:type="pct"/>
            <w:shd w:val="clear" w:color="auto" w:fill="auto"/>
            <w:vAlign w:val="center"/>
          </w:tcPr>
          <w:p w14:paraId="3750EDEB" w14:textId="77777777" w:rsidR="002541AD" w:rsidRDefault="002541AD">
            <w:pPr>
              <w:rPr>
                <w:rFonts w:ascii="Times New Roman" w:hAnsi="Times New Roman"/>
                <w:sz w:val="20"/>
                <w:szCs w:val="20"/>
              </w:rPr>
            </w:pPr>
          </w:p>
        </w:tc>
      </w:tr>
      <w:tr w:rsidR="002541AD" w14:paraId="3750EDF0" w14:textId="77777777">
        <w:tc>
          <w:tcPr>
            <w:tcW w:w="0" w:type="auto"/>
            <w:tcBorders>
              <w:top w:val="single" w:sz="8" w:space="0" w:color="0071C5"/>
              <w:right w:val="single" w:sz="24" w:space="0" w:color="0071C5"/>
            </w:tcBorders>
            <w:shd w:val="clear" w:color="auto" w:fill="auto"/>
            <w:tcMar>
              <w:top w:w="40" w:type="dxa"/>
              <w:left w:w="40" w:type="dxa"/>
              <w:bottom w:w="40" w:type="dxa"/>
              <w:right w:w="40" w:type="dxa"/>
            </w:tcMar>
            <w:vAlign w:val="center"/>
          </w:tcPr>
          <w:p w14:paraId="3750EDED"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89" wp14:editId="3750F88A">
                  <wp:extent cx="304800" cy="304800"/>
                  <wp:effectExtent l="0" t="0" r="0" b="0"/>
                  <wp:docPr id="109" name="图片 89"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89"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DEE"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DEF"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25</w:t>
            </w:r>
          </w:p>
        </w:tc>
      </w:tr>
    </w:tbl>
    <w:p w14:paraId="3750EDF1" w14:textId="77777777" w:rsidR="002541AD" w:rsidRDefault="002541AD">
      <w:pPr>
        <w:spacing w:line="288" w:lineRule="auto"/>
        <w:rPr>
          <w:rFonts w:ascii="Times New Roman" w:hAnsi="Times New Roman"/>
          <w:sz w:val="18"/>
          <w:szCs w:val="18"/>
        </w:rPr>
      </w:pPr>
    </w:p>
    <w:p w14:paraId="3750EDF2" w14:textId="77777777" w:rsidR="002541AD" w:rsidRDefault="002541AD">
      <w:pPr>
        <w:spacing w:line="288" w:lineRule="auto"/>
        <w:rPr>
          <w:rFonts w:ascii="Times New Roman" w:hAnsi="Times New Roman"/>
          <w:sz w:val="18"/>
          <w:szCs w:val="18"/>
        </w:rPr>
      </w:pPr>
    </w:p>
    <w:p w14:paraId="3750EDF3" w14:textId="77777777" w:rsidR="002541AD" w:rsidRDefault="00901AA6">
      <w:r>
        <w:rPr>
          <w:rFonts w:ascii="Times New Roman" w:hAnsi="Times New Roman"/>
          <w:sz w:val="18"/>
          <w:szCs w:val="18"/>
        </w:rPr>
        <w:pict w14:anchorId="3750F88B">
          <v:rect id="_x0000_i1051" style="width:415.3pt;height:1.5pt" o:hralign="center" o:hrstd="t" o:hr="t" fillcolor="#a0a0a0" stroked="f"/>
        </w:pict>
      </w:r>
    </w:p>
    <w:p w14:paraId="3750EDF4" w14:textId="77777777" w:rsidR="002541AD" w:rsidRDefault="00901AA6">
      <w:pPr>
        <w:spacing w:line="288" w:lineRule="auto"/>
        <w:jc w:val="right"/>
        <w:rPr>
          <w:rFonts w:ascii="Times New Roman" w:hAnsi="Times New Roman"/>
          <w:sz w:val="16"/>
          <w:szCs w:val="16"/>
        </w:rPr>
      </w:pPr>
      <w:hyperlink r:id="rId54" w:anchor="s2CABEAF4222C52B4A34547BF538A8C27" w:history="1">
        <w:r>
          <w:rPr>
            <w:rStyle w:val="a5"/>
            <w:rFonts w:ascii="Arial" w:eastAsia="宋体" w:hAnsi="Arial" w:cs="Arial"/>
            <w:b/>
            <w:bCs/>
            <w:sz w:val="16"/>
            <w:szCs w:val="16"/>
          </w:rPr>
          <w:t>Table of Contents</w:t>
        </w:r>
      </w:hyperlink>
    </w:p>
    <w:p w14:paraId="3750EDF5" w14:textId="77777777" w:rsidR="002541AD" w:rsidRDefault="002541AD">
      <w:pPr>
        <w:spacing w:line="288" w:lineRule="auto"/>
        <w:jc w:val="right"/>
        <w:rPr>
          <w:rFonts w:ascii="Times New Roman" w:hAnsi="Times New Roman"/>
          <w:sz w:val="18"/>
          <w:szCs w:val="18"/>
        </w:rPr>
      </w:pPr>
    </w:p>
    <w:p w14:paraId="3750EDF6"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2541AD" w14:paraId="3750EDF8" w14:textId="77777777">
        <w:tc>
          <w:tcPr>
            <w:tcW w:w="0" w:type="auto"/>
            <w:shd w:val="clear" w:color="auto" w:fill="auto"/>
            <w:vAlign w:val="center"/>
          </w:tcPr>
          <w:p w14:paraId="3750EDF7" w14:textId="77777777" w:rsidR="002541AD" w:rsidRDefault="002541AD">
            <w:pPr>
              <w:rPr>
                <w:rFonts w:ascii="Times New Roman" w:hAnsi="Times New Roman"/>
                <w:sz w:val="20"/>
                <w:szCs w:val="20"/>
              </w:rPr>
            </w:pPr>
          </w:p>
        </w:tc>
      </w:tr>
      <w:tr w:rsidR="002541AD" w14:paraId="3750EDFA" w14:textId="77777777">
        <w:tc>
          <w:tcPr>
            <w:tcW w:w="5000" w:type="pct"/>
            <w:shd w:val="clear" w:color="auto" w:fill="auto"/>
            <w:vAlign w:val="center"/>
          </w:tcPr>
          <w:p w14:paraId="3750EDF9" w14:textId="77777777" w:rsidR="002541AD" w:rsidRDefault="002541AD">
            <w:pPr>
              <w:rPr>
                <w:rFonts w:ascii="Times New Roman" w:hAnsi="Times New Roman"/>
                <w:sz w:val="20"/>
                <w:szCs w:val="20"/>
              </w:rPr>
            </w:pPr>
          </w:p>
        </w:tc>
      </w:tr>
      <w:tr w:rsidR="002541AD" w14:paraId="3750EDFC" w14:textId="77777777">
        <w:tc>
          <w:tcPr>
            <w:tcW w:w="0" w:type="auto"/>
            <w:shd w:val="clear" w:color="auto" w:fill="0071C5"/>
            <w:tcMar>
              <w:top w:w="40" w:type="dxa"/>
              <w:left w:w="40" w:type="dxa"/>
              <w:bottom w:w="40" w:type="dxa"/>
              <w:right w:w="40" w:type="dxa"/>
            </w:tcMar>
            <w:vAlign w:val="bottom"/>
          </w:tcPr>
          <w:p w14:paraId="3750EDFB"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rPr>
              <w:t>KEY TERMS</w:t>
            </w:r>
          </w:p>
        </w:tc>
      </w:tr>
    </w:tbl>
    <w:p w14:paraId="3750EDFD"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We use terms throughout our document that are specific to Intel or that are abbreviations that may not be commonly known or used. Below is a list of these terms used in our document. </w:t>
      </w:r>
    </w:p>
    <w:tbl>
      <w:tblPr>
        <w:tblW w:w="5000" w:type="pct"/>
        <w:tblCellMar>
          <w:left w:w="0" w:type="dxa"/>
          <w:right w:w="0" w:type="dxa"/>
        </w:tblCellMar>
        <w:tblLook w:val="04A0" w:firstRow="1" w:lastRow="0" w:firstColumn="1" w:lastColumn="0" w:noHBand="0" w:noVBand="1"/>
      </w:tblPr>
      <w:tblGrid>
        <w:gridCol w:w="1661"/>
        <w:gridCol w:w="332"/>
        <w:gridCol w:w="6313"/>
      </w:tblGrid>
      <w:tr w:rsidR="002541AD" w14:paraId="3750EDFF" w14:textId="77777777">
        <w:tc>
          <w:tcPr>
            <w:tcW w:w="0" w:type="auto"/>
            <w:gridSpan w:val="3"/>
            <w:shd w:val="clear" w:color="auto" w:fill="auto"/>
            <w:vAlign w:val="center"/>
          </w:tcPr>
          <w:p w14:paraId="3750EDFE" w14:textId="77777777" w:rsidR="002541AD" w:rsidRDefault="002541AD">
            <w:pPr>
              <w:rPr>
                <w:rFonts w:ascii="Times New Roman" w:hAnsi="Times New Roman"/>
                <w:sz w:val="20"/>
                <w:szCs w:val="20"/>
              </w:rPr>
            </w:pPr>
          </w:p>
        </w:tc>
      </w:tr>
      <w:tr w:rsidR="002541AD" w14:paraId="3750EE03" w14:textId="77777777">
        <w:tc>
          <w:tcPr>
            <w:tcW w:w="1000" w:type="pct"/>
            <w:shd w:val="clear" w:color="auto" w:fill="auto"/>
            <w:vAlign w:val="center"/>
          </w:tcPr>
          <w:p w14:paraId="3750EE00" w14:textId="77777777" w:rsidR="002541AD" w:rsidRDefault="002541AD">
            <w:pPr>
              <w:rPr>
                <w:rFonts w:ascii="Times New Roman" w:hAnsi="Times New Roman"/>
                <w:sz w:val="20"/>
                <w:szCs w:val="20"/>
              </w:rPr>
            </w:pPr>
          </w:p>
        </w:tc>
        <w:tc>
          <w:tcPr>
            <w:tcW w:w="200" w:type="pct"/>
            <w:shd w:val="clear" w:color="auto" w:fill="auto"/>
            <w:vAlign w:val="center"/>
          </w:tcPr>
          <w:p w14:paraId="3750EE01" w14:textId="77777777" w:rsidR="002541AD" w:rsidRDefault="002541AD">
            <w:pPr>
              <w:rPr>
                <w:rFonts w:ascii="Times New Roman" w:hAnsi="Times New Roman"/>
                <w:sz w:val="20"/>
                <w:szCs w:val="20"/>
              </w:rPr>
            </w:pPr>
          </w:p>
        </w:tc>
        <w:tc>
          <w:tcPr>
            <w:tcW w:w="3800" w:type="pct"/>
            <w:shd w:val="clear" w:color="auto" w:fill="auto"/>
            <w:vAlign w:val="center"/>
          </w:tcPr>
          <w:p w14:paraId="3750EE02" w14:textId="77777777" w:rsidR="002541AD" w:rsidRDefault="002541AD">
            <w:pPr>
              <w:rPr>
                <w:rFonts w:ascii="Times New Roman" w:hAnsi="Times New Roman"/>
                <w:sz w:val="20"/>
                <w:szCs w:val="20"/>
              </w:rPr>
            </w:pPr>
          </w:p>
        </w:tc>
      </w:tr>
      <w:tr w:rsidR="002541AD" w14:paraId="3750EE07" w14:textId="77777777">
        <w:tc>
          <w:tcPr>
            <w:tcW w:w="0" w:type="auto"/>
            <w:tcBorders>
              <w:bottom w:val="single" w:sz="8" w:space="0" w:color="333333"/>
            </w:tcBorders>
            <w:shd w:val="clear" w:color="auto" w:fill="auto"/>
            <w:tcMar>
              <w:top w:w="40" w:type="dxa"/>
              <w:left w:w="40" w:type="dxa"/>
              <w:bottom w:w="40" w:type="dxa"/>
              <w:right w:w="40" w:type="dxa"/>
            </w:tcMar>
          </w:tcPr>
          <w:p w14:paraId="3750EE04" w14:textId="77777777" w:rsidR="002541AD" w:rsidRDefault="00901AA6">
            <w:pPr>
              <w:jc w:val="center"/>
              <w:textAlignment w:val="top"/>
              <w:rPr>
                <w:rFonts w:ascii="Times New Roman" w:hAnsi="Times New Roman"/>
                <w:sz w:val="18"/>
                <w:szCs w:val="18"/>
              </w:rPr>
            </w:pPr>
            <w:r>
              <w:rPr>
                <w:rFonts w:ascii="Arial" w:eastAsia="宋体" w:hAnsi="Arial" w:cs="Arial"/>
                <w:b/>
                <w:bCs/>
                <w:color w:val="0071C5"/>
                <w:sz w:val="18"/>
                <w:szCs w:val="18"/>
              </w:rPr>
              <w:t>TERM</w:t>
            </w:r>
          </w:p>
        </w:tc>
        <w:tc>
          <w:tcPr>
            <w:tcW w:w="0" w:type="auto"/>
            <w:tcBorders>
              <w:bottom w:val="single" w:sz="8" w:space="0" w:color="333333"/>
            </w:tcBorders>
            <w:shd w:val="clear" w:color="auto" w:fill="auto"/>
            <w:tcMar>
              <w:top w:w="40" w:type="dxa"/>
              <w:left w:w="40" w:type="dxa"/>
              <w:bottom w:w="40" w:type="dxa"/>
              <w:right w:w="40" w:type="dxa"/>
            </w:tcMar>
            <w:vAlign w:val="bottom"/>
          </w:tcPr>
          <w:p w14:paraId="3750EE0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tcPr>
          <w:p w14:paraId="3750EE06" w14:textId="77777777" w:rsidR="002541AD" w:rsidRDefault="00901AA6">
            <w:pPr>
              <w:jc w:val="center"/>
              <w:textAlignment w:val="top"/>
              <w:rPr>
                <w:rFonts w:ascii="Times New Roman" w:hAnsi="Times New Roman"/>
                <w:sz w:val="18"/>
                <w:szCs w:val="18"/>
              </w:rPr>
            </w:pPr>
            <w:r>
              <w:rPr>
                <w:rFonts w:ascii="Arial" w:eastAsia="宋体" w:hAnsi="Arial" w:cs="Arial"/>
                <w:b/>
                <w:bCs/>
                <w:color w:val="0071C5"/>
                <w:sz w:val="18"/>
                <w:szCs w:val="18"/>
              </w:rPr>
              <w:t>DEFINITION</w:t>
            </w:r>
          </w:p>
        </w:tc>
      </w:tr>
      <w:tr w:rsidR="002541AD" w14:paraId="3750EE0B" w14:textId="77777777">
        <w:tc>
          <w:tcPr>
            <w:tcW w:w="0" w:type="auto"/>
            <w:shd w:val="clear" w:color="auto" w:fill="auto"/>
            <w:tcMar>
              <w:top w:w="40" w:type="dxa"/>
              <w:left w:w="40" w:type="dxa"/>
              <w:bottom w:w="40" w:type="dxa"/>
              <w:right w:w="40" w:type="dxa"/>
            </w:tcMar>
            <w:vAlign w:val="bottom"/>
          </w:tcPr>
          <w:p w14:paraId="3750EE0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E0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E0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E0F" w14:textId="77777777">
        <w:tc>
          <w:tcPr>
            <w:tcW w:w="0" w:type="auto"/>
            <w:shd w:val="clear" w:color="auto" w:fill="auto"/>
            <w:tcMar>
              <w:top w:w="40" w:type="dxa"/>
              <w:left w:w="40" w:type="dxa"/>
              <w:bottom w:w="40" w:type="dxa"/>
              <w:right w:w="40" w:type="dxa"/>
            </w:tcMar>
          </w:tcPr>
          <w:p w14:paraId="3750EE0C"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2009 Debentures</w:t>
            </w:r>
          </w:p>
        </w:tc>
        <w:tc>
          <w:tcPr>
            <w:tcW w:w="0" w:type="auto"/>
            <w:shd w:val="clear" w:color="auto" w:fill="auto"/>
            <w:tcMar>
              <w:top w:w="40" w:type="dxa"/>
              <w:left w:w="40" w:type="dxa"/>
              <w:bottom w:w="40" w:type="dxa"/>
              <w:right w:w="40" w:type="dxa"/>
            </w:tcMar>
            <w:vAlign w:val="bottom"/>
          </w:tcPr>
          <w:p w14:paraId="3750EE0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0E"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 xml:space="preserve">3.25% junior </w:t>
            </w:r>
            <w:r>
              <w:rPr>
                <w:rFonts w:ascii="Arial" w:eastAsia="宋体" w:hAnsi="Arial" w:cs="Arial"/>
                <w:color w:val="333333"/>
                <w:sz w:val="18"/>
                <w:szCs w:val="18"/>
              </w:rPr>
              <w:t>subordinated convertible debentures due 2039</w:t>
            </w:r>
          </w:p>
        </w:tc>
      </w:tr>
      <w:tr w:rsidR="002541AD" w14:paraId="3750EE13" w14:textId="77777777">
        <w:tc>
          <w:tcPr>
            <w:tcW w:w="0" w:type="auto"/>
            <w:shd w:val="clear" w:color="auto" w:fill="auto"/>
            <w:tcMar>
              <w:top w:w="40" w:type="dxa"/>
              <w:left w:w="40" w:type="dxa"/>
              <w:bottom w:w="40" w:type="dxa"/>
              <w:right w:w="40" w:type="dxa"/>
            </w:tcMar>
          </w:tcPr>
          <w:p w14:paraId="3750EE10"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5G</w:t>
            </w:r>
          </w:p>
        </w:tc>
        <w:tc>
          <w:tcPr>
            <w:tcW w:w="0" w:type="auto"/>
            <w:shd w:val="clear" w:color="auto" w:fill="auto"/>
            <w:tcMar>
              <w:top w:w="40" w:type="dxa"/>
              <w:left w:w="40" w:type="dxa"/>
              <w:bottom w:w="40" w:type="dxa"/>
              <w:right w:w="40" w:type="dxa"/>
            </w:tcMar>
            <w:vAlign w:val="bottom"/>
          </w:tcPr>
          <w:p w14:paraId="3750EE1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12"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The next-generation mobile network, which is expected to bring dramatic improvements in network speeds and latency, and which we view as a transformative technology and opportunity for many industries</w:t>
            </w:r>
          </w:p>
        </w:tc>
      </w:tr>
      <w:tr w:rsidR="002541AD" w14:paraId="3750EE17" w14:textId="77777777">
        <w:tc>
          <w:tcPr>
            <w:tcW w:w="0" w:type="auto"/>
            <w:shd w:val="clear" w:color="auto" w:fill="auto"/>
            <w:tcMar>
              <w:top w:w="40" w:type="dxa"/>
              <w:left w:w="40" w:type="dxa"/>
              <w:bottom w:w="40" w:type="dxa"/>
              <w:right w:w="40" w:type="dxa"/>
            </w:tcMar>
          </w:tcPr>
          <w:p w14:paraId="3750EE14"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ADA</w:t>
            </w:r>
            <w:r>
              <w:rPr>
                <w:rFonts w:ascii="Arial" w:eastAsia="宋体" w:hAnsi="Arial" w:cs="Arial"/>
                <w:b/>
                <w:bCs/>
                <w:color w:val="0071C5"/>
                <w:sz w:val="18"/>
                <w:szCs w:val="18"/>
              </w:rPr>
              <w:t>S</w:t>
            </w:r>
          </w:p>
        </w:tc>
        <w:tc>
          <w:tcPr>
            <w:tcW w:w="0" w:type="auto"/>
            <w:shd w:val="clear" w:color="auto" w:fill="auto"/>
            <w:tcMar>
              <w:top w:w="40" w:type="dxa"/>
              <w:left w:w="40" w:type="dxa"/>
              <w:bottom w:w="40" w:type="dxa"/>
              <w:right w:w="40" w:type="dxa"/>
            </w:tcMar>
            <w:vAlign w:val="bottom"/>
          </w:tcPr>
          <w:p w14:paraId="3750EE1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16"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Advanced driver-assistance systems</w:t>
            </w:r>
          </w:p>
        </w:tc>
      </w:tr>
      <w:tr w:rsidR="002541AD" w14:paraId="3750EE1B" w14:textId="77777777">
        <w:tc>
          <w:tcPr>
            <w:tcW w:w="0" w:type="auto"/>
            <w:shd w:val="clear" w:color="auto" w:fill="auto"/>
            <w:tcMar>
              <w:top w:w="40" w:type="dxa"/>
              <w:left w:w="40" w:type="dxa"/>
              <w:bottom w:w="40" w:type="dxa"/>
              <w:right w:w="40" w:type="dxa"/>
            </w:tcMar>
          </w:tcPr>
          <w:p w14:paraId="3750EE18"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Adjacent products</w:t>
            </w:r>
          </w:p>
        </w:tc>
        <w:tc>
          <w:tcPr>
            <w:tcW w:w="0" w:type="auto"/>
            <w:shd w:val="clear" w:color="auto" w:fill="auto"/>
            <w:tcMar>
              <w:top w:w="40" w:type="dxa"/>
              <w:left w:w="40" w:type="dxa"/>
              <w:bottom w:w="40" w:type="dxa"/>
              <w:right w:w="40" w:type="dxa"/>
            </w:tcMar>
            <w:vAlign w:val="bottom"/>
          </w:tcPr>
          <w:p w14:paraId="3750EE1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1A"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 xml:space="preserve">All of our non-platform products for CCG, DCG, and IOTG, such as modem, Ethernet and silicon photonics, as well as Mobileye, Non-Volatile Memory Solutions Group (NSG), and Programmable </w:t>
            </w:r>
            <w:r>
              <w:rPr>
                <w:rFonts w:ascii="Arial" w:eastAsia="宋体" w:hAnsi="Arial" w:cs="Arial"/>
                <w:color w:val="333333"/>
                <w:sz w:val="18"/>
                <w:szCs w:val="18"/>
              </w:rPr>
              <w:t>Solutions Group (PSG) products. Combined with our platform products, adjacent products form comprehensive platform solutions to meet customer needs</w:t>
            </w:r>
          </w:p>
        </w:tc>
      </w:tr>
      <w:tr w:rsidR="002541AD" w14:paraId="3750EE1F" w14:textId="77777777">
        <w:tc>
          <w:tcPr>
            <w:tcW w:w="0" w:type="auto"/>
            <w:shd w:val="clear" w:color="auto" w:fill="auto"/>
            <w:tcMar>
              <w:top w:w="40" w:type="dxa"/>
              <w:left w:w="40" w:type="dxa"/>
              <w:bottom w:w="40" w:type="dxa"/>
              <w:right w:w="40" w:type="dxa"/>
            </w:tcMar>
          </w:tcPr>
          <w:p w14:paraId="3750EE1C"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ASIC</w:t>
            </w:r>
          </w:p>
        </w:tc>
        <w:tc>
          <w:tcPr>
            <w:tcW w:w="0" w:type="auto"/>
            <w:shd w:val="clear" w:color="auto" w:fill="auto"/>
            <w:tcMar>
              <w:top w:w="40" w:type="dxa"/>
              <w:left w:w="40" w:type="dxa"/>
              <w:bottom w:w="40" w:type="dxa"/>
              <w:right w:w="40" w:type="dxa"/>
            </w:tcMar>
            <w:vAlign w:val="bottom"/>
          </w:tcPr>
          <w:p w14:paraId="3750EE1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1E"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Application-specific integrated circuit</w:t>
            </w:r>
          </w:p>
        </w:tc>
      </w:tr>
      <w:tr w:rsidR="002541AD" w14:paraId="3750EE23" w14:textId="77777777">
        <w:tc>
          <w:tcPr>
            <w:tcW w:w="0" w:type="auto"/>
            <w:shd w:val="clear" w:color="auto" w:fill="auto"/>
            <w:tcMar>
              <w:top w:w="40" w:type="dxa"/>
              <w:left w:w="40" w:type="dxa"/>
              <w:bottom w:w="40" w:type="dxa"/>
              <w:right w:w="40" w:type="dxa"/>
            </w:tcMar>
          </w:tcPr>
          <w:p w14:paraId="3750EE20"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ASP</w:t>
            </w:r>
          </w:p>
        </w:tc>
        <w:tc>
          <w:tcPr>
            <w:tcW w:w="0" w:type="auto"/>
            <w:shd w:val="clear" w:color="auto" w:fill="auto"/>
            <w:tcMar>
              <w:top w:w="40" w:type="dxa"/>
              <w:left w:w="40" w:type="dxa"/>
              <w:bottom w:w="40" w:type="dxa"/>
              <w:right w:w="40" w:type="dxa"/>
            </w:tcMar>
            <w:vAlign w:val="bottom"/>
          </w:tcPr>
          <w:p w14:paraId="3750EE2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E22"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Average Selling Price</w:t>
            </w:r>
          </w:p>
        </w:tc>
      </w:tr>
      <w:tr w:rsidR="002541AD" w14:paraId="3750EE27" w14:textId="77777777">
        <w:tc>
          <w:tcPr>
            <w:tcW w:w="0" w:type="auto"/>
            <w:shd w:val="clear" w:color="auto" w:fill="auto"/>
            <w:tcMar>
              <w:top w:w="40" w:type="dxa"/>
              <w:left w:w="40" w:type="dxa"/>
              <w:bottom w:w="40" w:type="dxa"/>
              <w:right w:w="40" w:type="dxa"/>
            </w:tcMar>
          </w:tcPr>
          <w:p w14:paraId="3750EE24"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CODM</w:t>
            </w:r>
          </w:p>
        </w:tc>
        <w:tc>
          <w:tcPr>
            <w:tcW w:w="0" w:type="auto"/>
            <w:shd w:val="clear" w:color="auto" w:fill="auto"/>
            <w:tcMar>
              <w:top w:w="40" w:type="dxa"/>
              <w:left w:w="40" w:type="dxa"/>
              <w:bottom w:w="40" w:type="dxa"/>
              <w:right w:w="40" w:type="dxa"/>
            </w:tcMar>
            <w:vAlign w:val="bottom"/>
          </w:tcPr>
          <w:p w14:paraId="3750EE2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26"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 xml:space="preserve">Chief </w:t>
            </w:r>
            <w:r>
              <w:rPr>
                <w:rFonts w:ascii="Arial" w:eastAsia="宋体" w:hAnsi="Arial" w:cs="Arial"/>
                <w:color w:val="333333"/>
                <w:sz w:val="18"/>
                <w:szCs w:val="18"/>
              </w:rPr>
              <w:t>operating decision maker</w:t>
            </w:r>
          </w:p>
        </w:tc>
      </w:tr>
      <w:tr w:rsidR="002541AD" w14:paraId="3750EE2B" w14:textId="77777777">
        <w:tc>
          <w:tcPr>
            <w:tcW w:w="0" w:type="auto"/>
            <w:shd w:val="clear" w:color="auto" w:fill="auto"/>
            <w:tcMar>
              <w:top w:w="40" w:type="dxa"/>
              <w:left w:w="40" w:type="dxa"/>
              <w:bottom w:w="40" w:type="dxa"/>
              <w:right w:w="40" w:type="dxa"/>
            </w:tcMar>
          </w:tcPr>
          <w:p w14:paraId="3750EE28"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COVID-19</w:t>
            </w:r>
          </w:p>
        </w:tc>
        <w:tc>
          <w:tcPr>
            <w:tcW w:w="0" w:type="auto"/>
            <w:shd w:val="clear" w:color="auto" w:fill="auto"/>
            <w:tcMar>
              <w:top w:w="40" w:type="dxa"/>
              <w:left w:w="40" w:type="dxa"/>
              <w:bottom w:w="40" w:type="dxa"/>
              <w:right w:w="40" w:type="dxa"/>
            </w:tcMar>
            <w:vAlign w:val="bottom"/>
          </w:tcPr>
          <w:p w14:paraId="3750EE2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2A"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The infectious disease caused by the most recently discovered coronavirus (aka coronavirus 2 or SARS-CoV-2), which was declared a global pandemic by the World Health Organization</w:t>
            </w:r>
          </w:p>
        </w:tc>
      </w:tr>
      <w:tr w:rsidR="002541AD" w14:paraId="3750EE2F" w14:textId="77777777">
        <w:tc>
          <w:tcPr>
            <w:tcW w:w="0" w:type="auto"/>
            <w:shd w:val="clear" w:color="auto" w:fill="auto"/>
            <w:tcMar>
              <w:top w:w="40" w:type="dxa"/>
              <w:left w:w="40" w:type="dxa"/>
              <w:bottom w:w="40" w:type="dxa"/>
              <w:right w:w="40" w:type="dxa"/>
            </w:tcMar>
          </w:tcPr>
          <w:p w14:paraId="3750EE2C"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CPU</w:t>
            </w:r>
          </w:p>
        </w:tc>
        <w:tc>
          <w:tcPr>
            <w:tcW w:w="0" w:type="auto"/>
            <w:shd w:val="clear" w:color="auto" w:fill="auto"/>
            <w:tcMar>
              <w:top w:w="40" w:type="dxa"/>
              <w:left w:w="40" w:type="dxa"/>
              <w:bottom w:w="40" w:type="dxa"/>
              <w:right w:w="40" w:type="dxa"/>
            </w:tcMar>
            <w:vAlign w:val="bottom"/>
          </w:tcPr>
          <w:p w14:paraId="3750EE2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2E"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 xml:space="preserve">Processor or central </w:t>
            </w:r>
            <w:r>
              <w:rPr>
                <w:rFonts w:ascii="Arial" w:eastAsia="宋体" w:hAnsi="Arial" w:cs="Arial"/>
                <w:color w:val="333333"/>
                <w:sz w:val="18"/>
                <w:szCs w:val="18"/>
              </w:rPr>
              <w:t>processing unit</w:t>
            </w:r>
          </w:p>
        </w:tc>
      </w:tr>
      <w:tr w:rsidR="002541AD" w14:paraId="3750EE33" w14:textId="77777777">
        <w:tc>
          <w:tcPr>
            <w:tcW w:w="0" w:type="auto"/>
            <w:shd w:val="clear" w:color="auto" w:fill="auto"/>
            <w:tcMar>
              <w:top w:w="40" w:type="dxa"/>
              <w:left w:w="40" w:type="dxa"/>
              <w:bottom w:w="40" w:type="dxa"/>
              <w:right w:w="40" w:type="dxa"/>
            </w:tcMar>
          </w:tcPr>
          <w:p w14:paraId="3750EE30"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Data-centric businesses</w:t>
            </w:r>
          </w:p>
        </w:tc>
        <w:tc>
          <w:tcPr>
            <w:tcW w:w="0" w:type="auto"/>
            <w:shd w:val="clear" w:color="auto" w:fill="auto"/>
            <w:tcMar>
              <w:top w:w="40" w:type="dxa"/>
              <w:left w:w="40" w:type="dxa"/>
              <w:bottom w:w="40" w:type="dxa"/>
              <w:right w:w="40" w:type="dxa"/>
            </w:tcMar>
            <w:vAlign w:val="bottom"/>
          </w:tcPr>
          <w:p w14:paraId="3750EE3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32"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Includes our Data Center Group (DCG), Internet of Things Group (IOTG), Mobileye, Non-Volatile Memory Solutions Group (NSG), Programmable Solutions Group (PSG), and all other businesses</w:t>
            </w:r>
          </w:p>
        </w:tc>
      </w:tr>
      <w:tr w:rsidR="002541AD" w14:paraId="3750EE37" w14:textId="77777777">
        <w:tc>
          <w:tcPr>
            <w:tcW w:w="0" w:type="auto"/>
            <w:shd w:val="clear" w:color="auto" w:fill="auto"/>
            <w:tcMar>
              <w:top w:w="40" w:type="dxa"/>
              <w:left w:w="40" w:type="dxa"/>
              <w:bottom w:w="40" w:type="dxa"/>
              <w:right w:w="40" w:type="dxa"/>
            </w:tcMar>
          </w:tcPr>
          <w:p w14:paraId="3750EE34"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EC</w:t>
            </w:r>
          </w:p>
        </w:tc>
        <w:tc>
          <w:tcPr>
            <w:tcW w:w="0" w:type="auto"/>
            <w:shd w:val="clear" w:color="auto" w:fill="auto"/>
            <w:tcMar>
              <w:top w:w="40" w:type="dxa"/>
              <w:left w:w="40" w:type="dxa"/>
              <w:bottom w:w="40" w:type="dxa"/>
              <w:right w:w="40" w:type="dxa"/>
            </w:tcMar>
            <w:vAlign w:val="bottom"/>
          </w:tcPr>
          <w:p w14:paraId="3750EE3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36"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 xml:space="preserve">European </w:t>
            </w:r>
            <w:r>
              <w:rPr>
                <w:rFonts w:ascii="Arial" w:eastAsia="宋体" w:hAnsi="Arial" w:cs="Arial"/>
                <w:color w:val="333333"/>
                <w:sz w:val="18"/>
                <w:szCs w:val="18"/>
              </w:rPr>
              <w:t>Commission</w:t>
            </w:r>
          </w:p>
        </w:tc>
      </w:tr>
      <w:tr w:rsidR="002541AD" w14:paraId="3750EE3B" w14:textId="77777777">
        <w:tc>
          <w:tcPr>
            <w:tcW w:w="0" w:type="auto"/>
            <w:shd w:val="clear" w:color="auto" w:fill="auto"/>
            <w:tcMar>
              <w:top w:w="40" w:type="dxa"/>
              <w:left w:w="40" w:type="dxa"/>
              <w:bottom w:w="40" w:type="dxa"/>
              <w:right w:w="40" w:type="dxa"/>
            </w:tcMar>
          </w:tcPr>
          <w:p w14:paraId="3750EE38"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Edge</w:t>
            </w:r>
          </w:p>
        </w:tc>
        <w:tc>
          <w:tcPr>
            <w:tcW w:w="0" w:type="auto"/>
            <w:shd w:val="clear" w:color="auto" w:fill="auto"/>
            <w:tcMar>
              <w:top w:w="40" w:type="dxa"/>
              <w:left w:w="40" w:type="dxa"/>
              <w:bottom w:w="40" w:type="dxa"/>
              <w:right w:w="40" w:type="dxa"/>
            </w:tcMar>
            <w:vAlign w:val="bottom"/>
          </w:tcPr>
          <w:p w14:paraId="3750EE3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E3A"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Allocated resources that move, store, and process data closer to the source or point of service delivery</w:t>
            </w:r>
          </w:p>
        </w:tc>
      </w:tr>
      <w:tr w:rsidR="002541AD" w14:paraId="3750EE3F" w14:textId="77777777">
        <w:tc>
          <w:tcPr>
            <w:tcW w:w="0" w:type="auto"/>
            <w:shd w:val="clear" w:color="auto" w:fill="auto"/>
            <w:tcMar>
              <w:top w:w="40" w:type="dxa"/>
              <w:left w:w="40" w:type="dxa"/>
              <w:bottom w:w="40" w:type="dxa"/>
              <w:right w:w="40" w:type="dxa"/>
            </w:tcMar>
          </w:tcPr>
          <w:p w14:paraId="3750EE3C"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Form 10-K</w:t>
            </w:r>
          </w:p>
        </w:tc>
        <w:tc>
          <w:tcPr>
            <w:tcW w:w="0" w:type="auto"/>
            <w:shd w:val="clear" w:color="auto" w:fill="auto"/>
            <w:tcMar>
              <w:top w:w="40" w:type="dxa"/>
              <w:left w:w="40" w:type="dxa"/>
              <w:bottom w:w="40" w:type="dxa"/>
              <w:right w:w="40" w:type="dxa"/>
            </w:tcMar>
            <w:vAlign w:val="bottom"/>
          </w:tcPr>
          <w:p w14:paraId="3750EE3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3E"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Annual Report on Form 10-K</w:t>
            </w:r>
          </w:p>
        </w:tc>
      </w:tr>
      <w:tr w:rsidR="002541AD" w14:paraId="3750EE43" w14:textId="77777777">
        <w:tc>
          <w:tcPr>
            <w:tcW w:w="0" w:type="auto"/>
            <w:shd w:val="clear" w:color="auto" w:fill="auto"/>
            <w:tcMar>
              <w:top w:w="40" w:type="dxa"/>
              <w:left w:w="40" w:type="dxa"/>
              <w:bottom w:w="40" w:type="dxa"/>
              <w:right w:w="40" w:type="dxa"/>
            </w:tcMar>
          </w:tcPr>
          <w:p w14:paraId="3750EE40"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Form 10-Q</w:t>
            </w:r>
          </w:p>
        </w:tc>
        <w:tc>
          <w:tcPr>
            <w:tcW w:w="0" w:type="auto"/>
            <w:shd w:val="clear" w:color="auto" w:fill="auto"/>
            <w:tcMar>
              <w:top w:w="40" w:type="dxa"/>
              <w:left w:w="40" w:type="dxa"/>
              <w:bottom w:w="40" w:type="dxa"/>
              <w:right w:w="40" w:type="dxa"/>
            </w:tcMar>
            <w:vAlign w:val="bottom"/>
          </w:tcPr>
          <w:p w14:paraId="3750EE4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42"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Quarterly Report on Form 10-Q</w:t>
            </w:r>
          </w:p>
        </w:tc>
      </w:tr>
      <w:tr w:rsidR="002541AD" w14:paraId="3750EE47" w14:textId="77777777">
        <w:tc>
          <w:tcPr>
            <w:tcW w:w="0" w:type="auto"/>
            <w:shd w:val="clear" w:color="auto" w:fill="auto"/>
            <w:tcMar>
              <w:top w:w="40" w:type="dxa"/>
              <w:left w:w="40" w:type="dxa"/>
              <w:bottom w:w="40" w:type="dxa"/>
              <w:right w:w="40" w:type="dxa"/>
            </w:tcMar>
          </w:tcPr>
          <w:p w14:paraId="3750EE44"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FPGA</w:t>
            </w:r>
          </w:p>
        </w:tc>
        <w:tc>
          <w:tcPr>
            <w:tcW w:w="0" w:type="auto"/>
            <w:shd w:val="clear" w:color="auto" w:fill="auto"/>
            <w:tcMar>
              <w:top w:w="40" w:type="dxa"/>
              <w:left w:w="40" w:type="dxa"/>
              <w:bottom w:w="40" w:type="dxa"/>
              <w:right w:w="40" w:type="dxa"/>
            </w:tcMar>
            <w:vAlign w:val="bottom"/>
          </w:tcPr>
          <w:p w14:paraId="3750EE4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46"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Field-programmable gate array</w:t>
            </w:r>
          </w:p>
        </w:tc>
      </w:tr>
      <w:tr w:rsidR="002541AD" w14:paraId="3750EE4B" w14:textId="77777777">
        <w:tc>
          <w:tcPr>
            <w:tcW w:w="0" w:type="auto"/>
            <w:shd w:val="clear" w:color="auto" w:fill="auto"/>
            <w:tcMar>
              <w:top w:w="40" w:type="dxa"/>
              <w:left w:w="40" w:type="dxa"/>
              <w:bottom w:w="40" w:type="dxa"/>
              <w:right w:w="40" w:type="dxa"/>
            </w:tcMar>
          </w:tcPr>
          <w:p w14:paraId="3750EE48"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IMFT</w:t>
            </w:r>
          </w:p>
        </w:tc>
        <w:tc>
          <w:tcPr>
            <w:tcW w:w="0" w:type="auto"/>
            <w:shd w:val="clear" w:color="auto" w:fill="auto"/>
            <w:tcMar>
              <w:top w:w="40" w:type="dxa"/>
              <w:left w:w="40" w:type="dxa"/>
              <w:bottom w:w="40" w:type="dxa"/>
              <w:right w:w="40" w:type="dxa"/>
            </w:tcMar>
            <w:vAlign w:val="bottom"/>
          </w:tcPr>
          <w:p w14:paraId="3750EE4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4A"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IM Flash Technologies, LLC</w:t>
            </w:r>
          </w:p>
        </w:tc>
      </w:tr>
      <w:tr w:rsidR="002541AD" w14:paraId="3750EE4F" w14:textId="77777777">
        <w:tc>
          <w:tcPr>
            <w:tcW w:w="0" w:type="auto"/>
            <w:shd w:val="clear" w:color="auto" w:fill="auto"/>
            <w:tcMar>
              <w:top w:w="40" w:type="dxa"/>
              <w:left w:w="40" w:type="dxa"/>
              <w:bottom w:w="40" w:type="dxa"/>
              <w:right w:w="40" w:type="dxa"/>
            </w:tcMar>
          </w:tcPr>
          <w:p w14:paraId="3750EE4C"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Internet of Things</w:t>
            </w:r>
          </w:p>
        </w:tc>
        <w:tc>
          <w:tcPr>
            <w:tcW w:w="0" w:type="auto"/>
            <w:shd w:val="clear" w:color="auto" w:fill="auto"/>
            <w:tcMar>
              <w:top w:w="40" w:type="dxa"/>
              <w:left w:w="40" w:type="dxa"/>
              <w:bottom w:w="40" w:type="dxa"/>
              <w:right w:w="40" w:type="dxa"/>
            </w:tcMar>
            <w:vAlign w:val="bottom"/>
          </w:tcPr>
          <w:p w14:paraId="3750EE4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4E"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Refers to the Internet of Things market in which we sell our IOTG and Mobileye products</w:t>
            </w:r>
          </w:p>
        </w:tc>
      </w:tr>
      <w:tr w:rsidR="002541AD" w14:paraId="3750EE53" w14:textId="77777777">
        <w:tc>
          <w:tcPr>
            <w:tcW w:w="0" w:type="auto"/>
            <w:shd w:val="clear" w:color="auto" w:fill="auto"/>
            <w:tcMar>
              <w:top w:w="40" w:type="dxa"/>
              <w:left w:w="40" w:type="dxa"/>
              <w:bottom w:w="40" w:type="dxa"/>
              <w:right w:w="40" w:type="dxa"/>
            </w:tcMar>
          </w:tcPr>
          <w:p w14:paraId="3750EE50"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IP</w:t>
            </w:r>
          </w:p>
        </w:tc>
        <w:tc>
          <w:tcPr>
            <w:tcW w:w="0" w:type="auto"/>
            <w:shd w:val="clear" w:color="auto" w:fill="auto"/>
            <w:tcMar>
              <w:top w:w="40" w:type="dxa"/>
              <w:left w:w="40" w:type="dxa"/>
              <w:bottom w:w="40" w:type="dxa"/>
              <w:right w:w="40" w:type="dxa"/>
            </w:tcMar>
            <w:vAlign w:val="bottom"/>
          </w:tcPr>
          <w:p w14:paraId="3750EE5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52"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Intellectual property</w:t>
            </w:r>
          </w:p>
        </w:tc>
      </w:tr>
      <w:tr w:rsidR="002541AD" w14:paraId="3750EE57" w14:textId="77777777">
        <w:tc>
          <w:tcPr>
            <w:tcW w:w="0" w:type="auto"/>
            <w:shd w:val="clear" w:color="auto" w:fill="auto"/>
            <w:tcMar>
              <w:top w:w="40" w:type="dxa"/>
              <w:left w:w="40" w:type="dxa"/>
              <w:bottom w:w="40" w:type="dxa"/>
              <w:right w:w="40" w:type="dxa"/>
            </w:tcMar>
          </w:tcPr>
          <w:p w14:paraId="3750EE54"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McAfee</w:t>
            </w:r>
          </w:p>
        </w:tc>
        <w:tc>
          <w:tcPr>
            <w:tcW w:w="0" w:type="auto"/>
            <w:shd w:val="clear" w:color="auto" w:fill="auto"/>
            <w:tcMar>
              <w:top w:w="40" w:type="dxa"/>
              <w:left w:w="40" w:type="dxa"/>
              <w:bottom w:w="40" w:type="dxa"/>
              <w:right w:w="40" w:type="dxa"/>
            </w:tcMar>
            <w:vAlign w:val="bottom"/>
          </w:tcPr>
          <w:p w14:paraId="3750EE5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56"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 xml:space="preserve">Business, post divestiture of Intel Security Group in Q2 2017, which we </w:t>
            </w:r>
            <w:r>
              <w:rPr>
                <w:rFonts w:ascii="Arial" w:eastAsia="宋体" w:hAnsi="Arial" w:cs="Arial"/>
                <w:color w:val="333333"/>
                <w:sz w:val="18"/>
                <w:szCs w:val="18"/>
              </w:rPr>
              <w:t>retained an interest in as part of our investment strategy</w:t>
            </w:r>
          </w:p>
        </w:tc>
      </w:tr>
      <w:tr w:rsidR="002541AD" w14:paraId="3750EE5B" w14:textId="77777777">
        <w:tc>
          <w:tcPr>
            <w:tcW w:w="0" w:type="auto"/>
            <w:shd w:val="clear" w:color="auto" w:fill="auto"/>
            <w:tcMar>
              <w:top w:w="40" w:type="dxa"/>
              <w:left w:w="40" w:type="dxa"/>
              <w:bottom w:w="40" w:type="dxa"/>
              <w:right w:w="40" w:type="dxa"/>
            </w:tcMar>
          </w:tcPr>
          <w:p w14:paraId="3750EE58"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MD&amp;A</w:t>
            </w:r>
          </w:p>
        </w:tc>
        <w:tc>
          <w:tcPr>
            <w:tcW w:w="0" w:type="auto"/>
            <w:shd w:val="clear" w:color="auto" w:fill="auto"/>
            <w:tcMar>
              <w:top w:w="40" w:type="dxa"/>
              <w:left w:w="40" w:type="dxa"/>
              <w:bottom w:w="40" w:type="dxa"/>
              <w:right w:w="40" w:type="dxa"/>
            </w:tcMar>
            <w:vAlign w:val="bottom"/>
          </w:tcPr>
          <w:p w14:paraId="3750EE5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5A"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Management's Discussion &amp; Analysis</w:t>
            </w:r>
          </w:p>
        </w:tc>
      </w:tr>
      <w:tr w:rsidR="002541AD" w14:paraId="3750EE5F" w14:textId="77777777">
        <w:tc>
          <w:tcPr>
            <w:tcW w:w="0" w:type="auto"/>
            <w:shd w:val="clear" w:color="auto" w:fill="auto"/>
            <w:tcMar>
              <w:top w:w="40" w:type="dxa"/>
              <w:left w:w="40" w:type="dxa"/>
              <w:bottom w:w="40" w:type="dxa"/>
              <w:right w:w="40" w:type="dxa"/>
            </w:tcMar>
          </w:tcPr>
          <w:p w14:paraId="3750EE5C"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MG&amp;A</w:t>
            </w:r>
          </w:p>
        </w:tc>
        <w:tc>
          <w:tcPr>
            <w:tcW w:w="0" w:type="auto"/>
            <w:shd w:val="clear" w:color="auto" w:fill="auto"/>
            <w:tcMar>
              <w:top w:w="40" w:type="dxa"/>
              <w:left w:w="40" w:type="dxa"/>
              <w:bottom w:w="40" w:type="dxa"/>
              <w:right w:w="40" w:type="dxa"/>
            </w:tcMar>
            <w:vAlign w:val="bottom"/>
          </w:tcPr>
          <w:p w14:paraId="3750EE5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5E"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Marketing, general and administrative</w:t>
            </w:r>
          </w:p>
        </w:tc>
      </w:tr>
      <w:tr w:rsidR="002541AD" w14:paraId="3750EE63" w14:textId="77777777">
        <w:tc>
          <w:tcPr>
            <w:tcW w:w="0" w:type="auto"/>
            <w:shd w:val="clear" w:color="auto" w:fill="auto"/>
            <w:tcMar>
              <w:top w:w="40" w:type="dxa"/>
              <w:left w:w="40" w:type="dxa"/>
              <w:bottom w:w="40" w:type="dxa"/>
              <w:right w:w="40" w:type="dxa"/>
            </w:tcMar>
          </w:tcPr>
          <w:p w14:paraId="3750EE60"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NAND</w:t>
            </w:r>
          </w:p>
        </w:tc>
        <w:tc>
          <w:tcPr>
            <w:tcW w:w="0" w:type="auto"/>
            <w:shd w:val="clear" w:color="auto" w:fill="auto"/>
            <w:tcMar>
              <w:top w:w="40" w:type="dxa"/>
              <w:left w:w="40" w:type="dxa"/>
              <w:bottom w:w="40" w:type="dxa"/>
              <w:right w:w="40" w:type="dxa"/>
            </w:tcMar>
            <w:vAlign w:val="bottom"/>
          </w:tcPr>
          <w:p w14:paraId="3750EE6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62"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NAND flash memory</w:t>
            </w:r>
          </w:p>
        </w:tc>
      </w:tr>
      <w:tr w:rsidR="002541AD" w14:paraId="3750EE67" w14:textId="77777777">
        <w:tc>
          <w:tcPr>
            <w:tcW w:w="0" w:type="auto"/>
            <w:shd w:val="clear" w:color="auto" w:fill="auto"/>
            <w:tcMar>
              <w:top w:w="40" w:type="dxa"/>
              <w:left w:w="40" w:type="dxa"/>
              <w:bottom w:w="40" w:type="dxa"/>
              <w:right w:w="40" w:type="dxa"/>
            </w:tcMar>
          </w:tcPr>
          <w:p w14:paraId="3750EE64"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nm</w:t>
            </w:r>
          </w:p>
        </w:tc>
        <w:tc>
          <w:tcPr>
            <w:tcW w:w="0" w:type="auto"/>
            <w:shd w:val="clear" w:color="auto" w:fill="auto"/>
            <w:tcMar>
              <w:top w:w="40" w:type="dxa"/>
              <w:left w:w="40" w:type="dxa"/>
              <w:bottom w:w="40" w:type="dxa"/>
              <w:right w:w="40" w:type="dxa"/>
            </w:tcMar>
            <w:vAlign w:val="bottom"/>
          </w:tcPr>
          <w:p w14:paraId="3750EE6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66"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Nanometer</w:t>
            </w:r>
          </w:p>
        </w:tc>
      </w:tr>
      <w:tr w:rsidR="002541AD" w14:paraId="3750EE6B" w14:textId="77777777">
        <w:tc>
          <w:tcPr>
            <w:tcW w:w="0" w:type="auto"/>
            <w:shd w:val="clear" w:color="auto" w:fill="auto"/>
            <w:tcMar>
              <w:top w:w="40" w:type="dxa"/>
              <w:left w:w="40" w:type="dxa"/>
              <w:bottom w:w="40" w:type="dxa"/>
              <w:right w:w="40" w:type="dxa"/>
            </w:tcMar>
          </w:tcPr>
          <w:p w14:paraId="3750EE68"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OEM</w:t>
            </w:r>
          </w:p>
        </w:tc>
        <w:tc>
          <w:tcPr>
            <w:tcW w:w="0" w:type="auto"/>
            <w:shd w:val="clear" w:color="auto" w:fill="auto"/>
            <w:tcMar>
              <w:top w:w="40" w:type="dxa"/>
              <w:left w:w="40" w:type="dxa"/>
              <w:bottom w:w="40" w:type="dxa"/>
              <w:right w:w="40" w:type="dxa"/>
            </w:tcMar>
            <w:vAlign w:val="bottom"/>
          </w:tcPr>
          <w:p w14:paraId="3750EE6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6A"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Original equipment manufacturer</w:t>
            </w:r>
          </w:p>
        </w:tc>
      </w:tr>
      <w:tr w:rsidR="002541AD" w14:paraId="3750EE6F" w14:textId="77777777">
        <w:tc>
          <w:tcPr>
            <w:tcW w:w="0" w:type="auto"/>
            <w:shd w:val="clear" w:color="auto" w:fill="auto"/>
            <w:tcMar>
              <w:top w:w="40" w:type="dxa"/>
              <w:left w:w="40" w:type="dxa"/>
              <w:bottom w:w="40" w:type="dxa"/>
              <w:right w:w="40" w:type="dxa"/>
            </w:tcMar>
          </w:tcPr>
          <w:p w14:paraId="3750EE6C"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 xml:space="preserve">PC-centric </w:t>
            </w:r>
            <w:r>
              <w:rPr>
                <w:rFonts w:ascii="Arial" w:eastAsia="宋体" w:hAnsi="Arial" w:cs="Arial"/>
                <w:b/>
                <w:bCs/>
                <w:color w:val="0071C5"/>
                <w:sz w:val="18"/>
                <w:szCs w:val="18"/>
              </w:rPr>
              <w:t>business</w:t>
            </w:r>
          </w:p>
        </w:tc>
        <w:tc>
          <w:tcPr>
            <w:tcW w:w="0" w:type="auto"/>
            <w:shd w:val="clear" w:color="auto" w:fill="auto"/>
            <w:tcMar>
              <w:top w:w="40" w:type="dxa"/>
              <w:left w:w="40" w:type="dxa"/>
              <w:bottom w:w="40" w:type="dxa"/>
              <w:right w:w="40" w:type="dxa"/>
            </w:tcMar>
            <w:vAlign w:val="bottom"/>
          </w:tcPr>
          <w:p w14:paraId="3750EE6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6E"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Our Client Computing Group (CCG) business, including both platform and adjacent products</w:t>
            </w:r>
          </w:p>
        </w:tc>
      </w:tr>
      <w:tr w:rsidR="002541AD" w14:paraId="3750EE73" w14:textId="77777777">
        <w:tc>
          <w:tcPr>
            <w:tcW w:w="0" w:type="auto"/>
            <w:shd w:val="clear" w:color="auto" w:fill="auto"/>
            <w:tcMar>
              <w:top w:w="40" w:type="dxa"/>
              <w:left w:w="40" w:type="dxa"/>
              <w:bottom w:w="40" w:type="dxa"/>
              <w:right w:w="40" w:type="dxa"/>
            </w:tcMar>
          </w:tcPr>
          <w:p w14:paraId="3750EE70"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Platform products</w:t>
            </w:r>
          </w:p>
        </w:tc>
        <w:tc>
          <w:tcPr>
            <w:tcW w:w="0" w:type="auto"/>
            <w:shd w:val="clear" w:color="auto" w:fill="auto"/>
            <w:tcMar>
              <w:top w:w="40" w:type="dxa"/>
              <w:left w:w="40" w:type="dxa"/>
              <w:bottom w:w="40" w:type="dxa"/>
              <w:right w:w="40" w:type="dxa"/>
            </w:tcMar>
            <w:vAlign w:val="bottom"/>
          </w:tcPr>
          <w:p w14:paraId="3750EE7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72"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 xml:space="preserve">A microprocessor (CPU) and chipset, a stand-alone SoC, or a multichip package, based on Intel® architecture. Platform products are </w:t>
            </w:r>
            <w:r>
              <w:rPr>
                <w:rFonts w:ascii="Arial" w:eastAsia="宋体" w:hAnsi="Arial" w:cs="Arial"/>
                <w:color w:val="333333"/>
                <w:sz w:val="18"/>
                <w:szCs w:val="18"/>
              </w:rPr>
              <w:t>primarily used in solutions sold through the CCG, DCG, and IOTG segments</w:t>
            </w:r>
          </w:p>
        </w:tc>
      </w:tr>
      <w:tr w:rsidR="002541AD" w14:paraId="3750EE77" w14:textId="77777777">
        <w:tc>
          <w:tcPr>
            <w:tcW w:w="0" w:type="auto"/>
            <w:shd w:val="clear" w:color="auto" w:fill="auto"/>
            <w:tcMar>
              <w:top w:w="40" w:type="dxa"/>
              <w:left w:w="40" w:type="dxa"/>
              <w:bottom w:w="40" w:type="dxa"/>
              <w:right w:w="40" w:type="dxa"/>
            </w:tcMar>
          </w:tcPr>
          <w:p w14:paraId="3750EE74"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PRQ</w:t>
            </w:r>
          </w:p>
        </w:tc>
        <w:tc>
          <w:tcPr>
            <w:tcW w:w="0" w:type="auto"/>
            <w:shd w:val="clear" w:color="auto" w:fill="auto"/>
            <w:tcMar>
              <w:top w:w="40" w:type="dxa"/>
              <w:left w:w="40" w:type="dxa"/>
              <w:bottom w:w="40" w:type="dxa"/>
              <w:right w:w="40" w:type="dxa"/>
            </w:tcMar>
            <w:vAlign w:val="bottom"/>
          </w:tcPr>
          <w:p w14:paraId="3750EE7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76"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Product Release Qualification, which is the milestone when costs to manufacture a product are included in inventory valuation</w:t>
            </w:r>
          </w:p>
        </w:tc>
      </w:tr>
      <w:tr w:rsidR="002541AD" w14:paraId="3750EE7B" w14:textId="77777777">
        <w:tc>
          <w:tcPr>
            <w:tcW w:w="0" w:type="auto"/>
            <w:shd w:val="clear" w:color="auto" w:fill="auto"/>
            <w:tcMar>
              <w:top w:w="40" w:type="dxa"/>
              <w:left w:w="40" w:type="dxa"/>
              <w:bottom w:w="40" w:type="dxa"/>
              <w:right w:w="40" w:type="dxa"/>
            </w:tcMar>
          </w:tcPr>
          <w:p w14:paraId="3750EE78"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QLC</w:t>
            </w:r>
          </w:p>
        </w:tc>
        <w:tc>
          <w:tcPr>
            <w:tcW w:w="0" w:type="auto"/>
            <w:shd w:val="clear" w:color="auto" w:fill="auto"/>
            <w:tcMar>
              <w:top w:w="40" w:type="dxa"/>
              <w:left w:w="40" w:type="dxa"/>
              <w:bottom w:w="40" w:type="dxa"/>
              <w:right w:w="40" w:type="dxa"/>
            </w:tcMar>
            <w:vAlign w:val="bottom"/>
          </w:tcPr>
          <w:p w14:paraId="3750EE7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7A"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 xml:space="preserve">Quad-level cell </w:t>
            </w:r>
          </w:p>
        </w:tc>
      </w:tr>
      <w:tr w:rsidR="002541AD" w14:paraId="3750EE7F" w14:textId="77777777">
        <w:tc>
          <w:tcPr>
            <w:tcW w:w="0" w:type="auto"/>
            <w:shd w:val="clear" w:color="auto" w:fill="auto"/>
            <w:tcMar>
              <w:top w:w="40" w:type="dxa"/>
              <w:left w:w="40" w:type="dxa"/>
              <w:bottom w:w="40" w:type="dxa"/>
              <w:right w:w="40" w:type="dxa"/>
            </w:tcMar>
          </w:tcPr>
          <w:p w14:paraId="3750EE7C"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R&amp;D</w:t>
            </w:r>
          </w:p>
        </w:tc>
        <w:tc>
          <w:tcPr>
            <w:tcW w:w="0" w:type="auto"/>
            <w:shd w:val="clear" w:color="auto" w:fill="auto"/>
            <w:tcMar>
              <w:top w:w="40" w:type="dxa"/>
              <w:left w:w="40" w:type="dxa"/>
              <w:bottom w:w="40" w:type="dxa"/>
              <w:right w:w="40" w:type="dxa"/>
            </w:tcMar>
            <w:vAlign w:val="bottom"/>
          </w:tcPr>
          <w:p w14:paraId="3750EE7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7E"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 xml:space="preserve">Research and </w:t>
            </w:r>
            <w:r>
              <w:rPr>
                <w:rFonts w:ascii="Arial" w:eastAsia="宋体" w:hAnsi="Arial" w:cs="Arial"/>
                <w:color w:val="333333"/>
                <w:sz w:val="18"/>
                <w:szCs w:val="18"/>
              </w:rPr>
              <w:t>development</w:t>
            </w:r>
          </w:p>
        </w:tc>
      </w:tr>
      <w:tr w:rsidR="002541AD" w14:paraId="3750EE83" w14:textId="77777777">
        <w:tc>
          <w:tcPr>
            <w:tcW w:w="0" w:type="auto"/>
            <w:shd w:val="clear" w:color="auto" w:fill="auto"/>
            <w:tcMar>
              <w:top w:w="40" w:type="dxa"/>
              <w:left w:w="40" w:type="dxa"/>
              <w:bottom w:w="40" w:type="dxa"/>
              <w:right w:w="40" w:type="dxa"/>
            </w:tcMar>
          </w:tcPr>
          <w:p w14:paraId="3750EE80"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 xml:space="preserve">RSU </w:t>
            </w:r>
          </w:p>
        </w:tc>
        <w:tc>
          <w:tcPr>
            <w:tcW w:w="0" w:type="auto"/>
            <w:shd w:val="clear" w:color="auto" w:fill="auto"/>
            <w:tcMar>
              <w:top w:w="40" w:type="dxa"/>
              <w:left w:w="40" w:type="dxa"/>
              <w:bottom w:w="40" w:type="dxa"/>
              <w:right w:w="40" w:type="dxa"/>
            </w:tcMar>
            <w:vAlign w:val="bottom"/>
          </w:tcPr>
          <w:p w14:paraId="3750EE8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82"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Restricted stock unit</w:t>
            </w:r>
          </w:p>
        </w:tc>
      </w:tr>
      <w:tr w:rsidR="002541AD" w14:paraId="3750EE87" w14:textId="77777777">
        <w:tc>
          <w:tcPr>
            <w:tcW w:w="0" w:type="auto"/>
            <w:shd w:val="clear" w:color="auto" w:fill="auto"/>
            <w:tcMar>
              <w:top w:w="40" w:type="dxa"/>
              <w:left w:w="40" w:type="dxa"/>
              <w:bottom w:w="40" w:type="dxa"/>
              <w:right w:w="40" w:type="dxa"/>
            </w:tcMar>
          </w:tcPr>
          <w:p w14:paraId="3750EE84"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SEC</w:t>
            </w:r>
          </w:p>
        </w:tc>
        <w:tc>
          <w:tcPr>
            <w:tcW w:w="0" w:type="auto"/>
            <w:shd w:val="clear" w:color="auto" w:fill="auto"/>
            <w:tcMar>
              <w:top w:w="40" w:type="dxa"/>
              <w:left w:w="40" w:type="dxa"/>
              <w:bottom w:w="40" w:type="dxa"/>
              <w:right w:w="40" w:type="dxa"/>
            </w:tcMar>
            <w:vAlign w:val="bottom"/>
          </w:tcPr>
          <w:p w14:paraId="3750EE8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86"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U.S. Securities and Exchange Commission</w:t>
            </w:r>
          </w:p>
        </w:tc>
      </w:tr>
      <w:tr w:rsidR="002541AD" w14:paraId="3750EE8B" w14:textId="77777777">
        <w:tc>
          <w:tcPr>
            <w:tcW w:w="0" w:type="auto"/>
            <w:shd w:val="clear" w:color="auto" w:fill="auto"/>
            <w:tcMar>
              <w:top w:w="40" w:type="dxa"/>
              <w:left w:w="40" w:type="dxa"/>
              <w:bottom w:w="40" w:type="dxa"/>
              <w:right w:w="40" w:type="dxa"/>
            </w:tcMar>
          </w:tcPr>
          <w:p w14:paraId="3750EE88"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SoC</w:t>
            </w:r>
          </w:p>
        </w:tc>
        <w:tc>
          <w:tcPr>
            <w:tcW w:w="0" w:type="auto"/>
            <w:shd w:val="clear" w:color="auto" w:fill="auto"/>
            <w:tcMar>
              <w:top w:w="40" w:type="dxa"/>
              <w:left w:w="40" w:type="dxa"/>
              <w:bottom w:w="40" w:type="dxa"/>
              <w:right w:w="40" w:type="dxa"/>
            </w:tcMar>
            <w:vAlign w:val="bottom"/>
          </w:tcPr>
          <w:p w14:paraId="3750EE8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8A"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 xml:space="preserve">System-on-Chip </w:t>
            </w:r>
          </w:p>
        </w:tc>
      </w:tr>
      <w:tr w:rsidR="002541AD" w14:paraId="3750EE8F" w14:textId="77777777">
        <w:tc>
          <w:tcPr>
            <w:tcW w:w="0" w:type="auto"/>
            <w:shd w:val="clear" w:color="auto" w:fill="auto"/>
            <w:tcMar>
              <w:top w:w="40" w:type="dxa"/>
              <w:left w:w="40" w:type="dxa"/>
              <w:bottom w:w="40" w:type="dxa"/>
              <w:right w:w="40" w:type="dxa"/>
            </w:tcMar>
          </w:tcPr>
          <w:p w14:paraId="3750EE8C"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SSD</w:t>
            </w:r>
          </w:p>
        </w:tc>
        <w:tc>
          <w:tcPr>
            <w:tcW w:w="0" w:type="auto"/>
            <w:shd w:val="clear" w:color="auto" w:fill="auto"/>
            <w:tcMar>
              <w:top w:w="40" w:type="dxa"/>
              <w:left w:w="40" w:type="dxa"/>
              <w:bottom w:w="40" w:type="dxa"/>
              <w:right w:w="40" w:type="dxa"/>
            </w:tcMar>
            <w:vAlign w:val="bottom"/>
          </w:tcPr>
          <w:p w14:paraId="3750EE8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8E"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Solid-state drive</w:t>
            </w:r>
          </w:p>
        </w:tc>
      </w:tr>
      <w:tr w:rsidR="002541AD" w14:paraId="3750EE93" w14:textId="77777777">
        <w:tc>
          <w:tcPr>
            <w:tcW w:w="0" w:type="auto"/>
            <w:shd w:val="clear" w:color="auto" w:fill="auto"/>
            <w:tcMar>
              <w:top w:w="40" w:type="dxa"/>
              <w:left w:w="40" w:type="dxa"/>
              <w:bottom w:w="40" w:type="dxa"/>
              <w:right w:w="40" w:type="dxa"/>
            </w:tcMar>
          </w:tcPr>
          <w:p w14:paraId="3750EE90"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TAM</w:t>
            </w:r>
          </w:p>
        </w:tc>
        <w:tc>
          <w:tcPr>
            <w:tcW w:w="0" w:type="auto"/>
            <w:shd w:val="clear" w:color="auto" w:fill="auto"/>
            <w:tcMar>
              <w:top w:w="40" w:type="dxa"/>
              <w:left w:w="40" w:type="dxa"/>
              <w:bottom w:w="40" w:type="dxa"/>
              <w:right w:w="40" w:type="dxa"/>
            </w:tcMar>
            <w:vAlign w:val="bottom"/>
          </w:tcPr>
          <w:p w14:paraId="3750EE9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92"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Total addressable market</w:t>
            </w:r>
          </w:p>
        </w:tc>
      </w:tr>
      <w:tr w:rsidR="002541AD" w14:paraId="3750EE97" w14:textId="77777777">
        <w:tc>
          <w:tcPr>
            <w:tcW w:w="0" w:type="auto"/>
            <w:shd w:val="clear" w:color="auto" w:fill="auto"/>
            <w:tcMar>
              <w:top w:w="40" w:type="dxa"/>
              <w:left w:w="40" w:type="dxa"/>
              <w:bottom w:w="40" w:type="dxa"/>
              <w:right w:w="40" w:type="dxa"/>
            </w:tcMar>
          </w:tcPr>
          <w:p w14:paraId="3750EE94"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TLC</w:t>
            </w:r>
          </w:p>
        </w:tc>
        <w:tc>
          <w:tcPr>
            <w:tcW w:w="0" w:type="auto"/>
            <w:shd w:val="clear" w:color="auto" w:fill="auto"/>
            <w:tcMar>
              <w:top w:w="40" w:type="dxa"/>
              <w:left w:w="40" w:type="dxa"/>
              <w:bottom w:w="40" w:type="dxa"/>
              <w:right w:w="40" w:type="dxa"/>
            </w:tcMar>
            <w:vAlign w:val="bottom"/>
          </w:tcPr>
          <w:p w14:paraId="3750EE9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96"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Triple-level cell</w:t>
            </w:r>
          </w:p>
        </w:tc>
      </w:tr>
      <w:tr w:rsidR="002541AD" w14:paraId="3750EE9B" w14:textId="77777777">
        <w:tc>
          <w:tcPr>
            <w:tcW w:w="0" w:type="auto"/>
            <w:shd w:val="clear" w:color="auto" w:fill="auto"/>
            <w:tcMar>
              <w:top w:w="40" w:type="dxa"/>
              <w:left w:w="40" w:type="dxa"/>
              <w:bottom w:w="40" w:type="dxa"/>
              <w:right w:w="40" w:type="dxa"/>
            </w:tcMar>
          </w:tcPr>
          <w:p w14:paraId="3750EE98" w14:textId="77777777" w:rsidR="002541AD" w:rsidRDefault="00901AA6">
            <w:pPr>
              <w:textAlignment w:val="top"/>
              <w:rPr>
                <w:rFonts w:ascii="Times New Roman" w:hAnsi="Times New Roman"/>
                <w:sz w:val="18"/>
                <w:szCs w:val="18"/>
              </w:rPr>
            </w:pPr>
            <w:r>
              <w:rPr>
                <w:rFonts w:ascii="Arial" w:eastAsia="宋体" w:hAnsi="Arial" w:cs="Arial"/>
                <w:b/>
                <w:bCs/>
                <w:color w:val="0071C5"/>
                <w:sz w:val="18"/>
                <w:szCs w:val="18"/>
              </w:rPr>
              <w:t>U.S. GAAP</w:t>
            </w:r>
          </w:p>
        </w:tc>
        <w:tc>
          <w:tcPr>
            <w:tcW w:w="0" w:type="auto"/>
            <w:shd w:val="clear" w:color="auto" w:fill="auto"/>
            <w:tcMar>
              <w:top w:w="40" w:type="dxa"/>
              <w:left w:w="40" w:type="dxa"/>
              <w:bottom w:w="40" w:type="dxa"/>
              <w:right w:w="40" w:type="dxa"/>
            </w:tcMar>
            <w:vAlign w:val="bottom"/>
          </w:tcPr>
          <w:p w14:paraId="3750EE9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E9A"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 xml:space="preserve">U.S. Generally Accepted Accounting </w:t>
            </w:r>
            <w:r>
              <w:rPr>
                <w:rFonts w:ascii="Arial" w:eastAsia="宋体" w:hAnsi="Arial" w:cs="Arial"/>
                <w:color w:val="333333"/>
                <w:sz w:val="18"/>
                <w:szCs w:val="18"/>
              </w:rPr>
              <w:t>Principles</w:t>
            </w:r>
          </w:p>
        </w:tc>
      </w:tr>
    </w:tbl>
    <w:p w14:paraId="3750EE9C" w14:textId="77777777" w:rsidR="002541AD" w:rsidRDefault="002541AD">
      <w:pPr>
        <w:spacing w:line="288" w:lineRule="auto"/>
        <w:rPr>
          <w:rFonts w:ascii="Times New Roman" w:hAnsi="Times New Roman"/>
          <w:sz w:val="18"/>
          <w:szCs w:val="18"/>
        </w:rPr>
      </w:pPr>
    </w:p>
    <w:p w14:paraId="3750EE9D"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EE9F" w14:textId="77777777">
        <w:tc>
          <w:tcPr>
            <w:tcW w:w="0" w:type="auto"/>
            <w:gridSpan w:val="3"/>
            <w:shd w:val="clear" w:color="auto" w:fill="auto"/>
            <w:vAlign w:val="center"/>
          </w:tcPr>
          <w:p w14:paraId="3750EE9E" w14:textId="77777777" w:rsidR="002541AD" w:rsidRDefault="002541AD">
            <w:pPr>
              <w:rPr>
                <w:rFonts w:ascii="Times New Roman" w:hAnsi="Times New Roman"/>
                <w:sz w:val="20"/>
                <w:szCs w:val="20"/>
              </w:rPr>
            </w:pPr>
          </w:p>
        </w:tc>
      </w:tr>
      <w:tr w:rsidR="002541AD" w14:paraId="3750EEA3" w14:textId="77777777">
        <w:tc>
          <w:tcPr>
            <w:tcW w:w="1550" w:type="pct"/>
            <w:shd w:val="clear" w:color="auto" w:fill="auto"/>
            <w:vAlign w:val="center"/>
          </w:tcPr>
          <w:p w14:paraId="3750EEA0" w14:textId="77777777" w:rsidR="002541AD" w:rsidRDefault="002541AD">
            <w:pPr>
              <w:rPr>
                <w:rFonts w:ascii="Times New Roman" w:hAnsi="Times New Roman"/>
                <w:sz w:val="20"/>
                <w:szCs w:val="20"/>
              </w:rPr>
            </w:pPr>
          </w:p>
        </w:tc>
        <w:tc>
          <w:tcPr>
            <w:tcW w:w="2200" w:type="pct"/>
            <w:shd w:val="clear" w:color="auto" w:fill="auto"/>
            <w:vAlign w:val="center"/>
          </w:tcPr>
          <w:p w14:paraId="3750EEA1" w14:textId="77777777" w:rsidR="002541AD" w:rsidRDefault="002541AD">
            <w:pPr>
              <w:rPr>
                <w:rFonts w:ascii="Times New Roman" w:hAnsi="Times New Roman"/>
                <w:sz w:val="20"/>
                <w:szCs w:val="20"/>
              </w:rPr>
            </w:pPr>
          </w:p>
        </w:tc>
        <w:tc>
          <w:tcPr>
            <w:tcW w:w="1250" w:type="pct"/>
            <w:shd w:val="clear" w:color="auto" w:fill="auto"/>
            <w:vAlign w:val="center"/>
          </w:tcPr>
          <w:p w14:paraId="3750EEA2" w14:textId="77777777" w:rsidR="002541AD" w:rsidRDefault="002541AD">
            <w:pPr>
              <w:rPr>
                <w:rFonts w:ascii="Times New Roman" w:hAnsi="Times New Roman"/>
                <w:sz w:val="20"/>
                <w:szCs w:val="20"/>
              </w:rPr>
            </w:pPr>
          </w:p>
        </w:tc>
      </w:tr>
      <w:tr w:rsidR="002541AD" w14:paraId="3750EEA7" w14:textId="77777777">
        <w:tc>
          <w:tcPr>
            <w:tcW w:w="0" w:type="auto"/>
            <w:tcBorders>
              <w:top w:val="single" w:sz="8" w:space="0" w:color="0071C5"/>
              <w:right w:val="single" w:sz="24" w:space="0" w:color="0071C5"/>
            </w:tcBorders>
            <w:shd w:val="clear" w:color="auto" w:fill="auto"/>
            <w:tcMar>
              <w:top w:w="40" w:type="dxa"/>
              <w:left w:w="40" w:type="dxa"/>
              <w:bottom w:w="40" w:type="dxa"/>
              <w:right w:w="40" w:type="dxa"/>
            </w:tcMar>
            <w:vAlign w:val="center"/>
          </w:tcPr>
          <w:p w14:paraId="3750EEA4"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8C" wp14:editId="3750F88D">
                  <wp:extent cx="304800" cy="304800"/>
                  <wp:effectExtent l="0" t="0" r="0" b="0"/>
                  <wp:docPr id="7" name="图片 91"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1"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EA5" w14:textId="77777777" w:rsidR="002541AD" w:rsidRDefault="00901AA6">
            <w:pPr>
              <w:textAlignment w:val="bottom"/>
              <w:rPr>
                <w:rFonts w:ascii="Times New Roman" w:hAnsi="Times New Roman"/>
                <w:sz w:val="16"/>
                <w:szCs w:val="16"/>
              </w:rPr>
            </w:pPr>
            <w:r>
              <w:rPr>
                <w:rFonts w:ascii="Arial" w:eastAsia="宋体" w:hAnsi="Arial" w:cs="Arial"/>
                <w:color w:val="333333"/>
                <w:sz w:val="16"/>
                <w:szCs w:val="16"/>
              </w:rPr>
              <w:t>  Notes to Financial Statements</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EA6"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26</w:t>
            </w:r>
          </w:p>
        </w:tc>
      </w:tr>
    </w:tbl>
    <w:p w14:paraId="3750EEA8" w14:textId="77777777" w:rsidR="002541AD" w:rsidRDefault="002541AD">
      <w:pPr>
        <w:spacing w:line="288" w:lineRule="auto"/>
        <w:rPr>
          <w:rFonts w:ascii="Times New Roman" w:hAnsi="Times New Roman"/>
          <w:sz w:val="18"/>
          <w:szCs w:val="18"/>
        </w:rPr>
      </w:pPr>
    </w:p>
    <w:p w14:paraId="3750EEA9" w14:textId="77777777" w:rsidR="002541AD" w:rsidRDefault="002541AD">
      <w:pPr>
        <w:spacing w:line="288" w:lineRule="auto"/>
        <w:rPr>
          <w:rFonts w:ascii="Times New Roman" w:hAnsi="Times New Roman"/>
          <w:sz w:val="18"/>
          <w:szCs w:val="18"/>
        </w:rPr>
      </w:pPr>
    </w:p>
    <w:p w14:paraId="3750EEAA" w14:textId="77777777" w:rsidR="002541AD" w:rsidRDefault="00901AA6">
      <w:r>
        <w:rPr>
          <w:rFonts w:ascii="Times New Roman" w:hAnsi="Times New Roman"/>
          <w:sz w:val="18"/>
          <w:szCs w:val="18"/>
        </w:rPr>
        <w:pict w14:anchorId="3750F88E">
          <v:rect id="_x0000_i1052" style="width:415.3pt;height:1.5pt" o:hralign="center" o:hrstd="t" o:hr="t" fillcolor="#a0a0a0" stroked="f"/>
        </w:pict>
      </w:r>
    </w:p>
    <w:p w14:paraId="3750EEAB" w14:textId="77777777" w:rsidR="002541AD" w:rsidRDefault="00901AA6">
      <w:pPr>
        <w:spacing w:line="288" w:lineRule="auto"/>
        <w:jc w:val="right"/>
        <w:rPr>
          <w:rFonts w:ascii="Times New Roman" w:hAnsi="Times New Roman"/>
          <w:sz w:val="16"/>
          <w:szCs w:val="16"/>
        </w:rPr>
      </w:pPr>
      <w:hyperlink r:id="rId55" w:anchor="s2CABEAF4222C52B4A34547BF538A8C27" w:history="1">
        <w:r>
          <w:rPr>
            <w:rStyle w:val="a5"/>
            <w:rFonts w:ascii="Arial" w:eastAsia="宋体" w:hAnsi="Arial" w:cs="Arial"/>
            <w:b/>
            <w:bCs/>
            <w:sz w:val="16"/>
            <w:szCs w:val="16"/>
          </w:rPr>
          <w:t>Table of Contents</w:t>
        </w:r>
      </w:hyperlink>
    </w:p>
    <w:p w14:paraId="3750EEAC" w14:textId="77777777" w:rsidR="002541AD" w:rsidRDefault="002541AD">
      <w:pPr>
        <w:spacing w:line="288" w:lineRule="auto"/>
        <w:jc w:val="right"/>
        <w:rPr>
          <w:rFonts w:ascii="Times New Roman" w:hAnsi="Times New Roman"/>
          <w:sz w:val="18"/>
          <w:szCs w:val="18"/>
        </w:rPr>
      </w:pPr>
    </w:p>
    <w:p w14:paraId="3750EEAD"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2541AD" w14:paraId="3750EEAF" w14:textId="77777777">
        <w:tc>
          <w:tcPr>
            <w:tcW w:w="0" w:type="auto"/>
            <w:shd w:val="clear" w:color="auto" w:fill="auto"/>
            <w:vAlign w:val="center"/>
          </w:tcPr>
          <w:p w14:paraId="3750EEAE" w14:textId="77777777" w:rsidR="002541AD" w:rsidRDefault="002541AD">
            <w:pPr>
              <w:rPr>
                <w:rFonts w:ascii="Times New Roman" w:hAnsi="Times New Roman"/>
                <w:sz w:val="20"/>
                <w:szCs w:val="20"/>
              </w:rPr>
            </w:pPr>
          </w:p>
        </w:tc>
      </w:tr>
      <w:tr w:rsidR="002541AD" w14:paraId="3750EEB1" w14:textId="77777777">
        <w:tc>
          <w:tcPr>
            <w:tcW w:w="5000" w:type="pct"/>
            <w:shd w:val="clear" w:color="auto" w:fill="auto"/>
            <w:vAlign w:val="center"/>
          </w:tcPr>
          <w:p w14:paraId="3750EEB0" w14:textId="77777777" w:rsidR="002541AD" w:rsidRDefault="002541AD">
            <w:pPr>
              <w:rPr>
                <w:rFonts w:ascii="Times New Roman" w:hAnsi="Times New Roman"/>
                <w:sz w:val="20"/>
                <w:szCs w:val="20"/>
              </w:rPr>
            </w:pPr>
          </w:p>
        </w:tc>
      </w:tr>
      <w:tr w:rsidR="002541AD" w14:paraId="3750EEB3" w14:textId="77777777">
        <w:tc>
          <w:tcPr>
            <w:tcW w:w="0" w:type="auto"/>
            <w:shd w:val="clear" w:color="auto" w:fill="0071C5"/>
            <w:tcMar>
              <w:top w:w="40" w:type="dxa"/>
              <w:left w:w="40" w:type="dxa"/>
              <w:bottom w:w="40" w:type="dxa"/>
              <w:right w:w="40" w:type="dxa"/>
            </w:tcMar>
            <w:vAlign w:val="bottom"/>
          </w:tcPr>
          <w:p w14:paraId="3750EEB2"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rPr>
              <w:t>MANAGEMENT'S DISCUSSION AND ANALYSIS</w:t>
            </w:r>
          </w:p>
        </w:tc>
      </w:tr>
    </w:tbl>
    <w:p w14:paraId="3750EEB4"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For additional key </w:t>
      </w:r>
      <w:r>
        <w:rPr>
          <w:rFonts w:ascii="Arial" w:eastAsia="宋体" w:hAnsi="Arial" w:cs="Arial"/>
          <w:color w:val="333333"/>
          <w:sz w:val="18"/>
          <w:szCs w:val="18"/>
        </w:rPr>
        <w:t>highlights of our results of operations, see "A Quarter in Review" and "Our Pandemic Response."</w:t>
      </w:r>
    </w:p>
    <w:p w14:paraId="3750EEB5"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 xml:space="preserve">DATA CENTER GROUP </w:t>
      </w:r>
    </w:p>
    <w:p w14:paraId="3750EEB6"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DCG develops workload-optimized platforms for compute, storage, and network functions. Market segments include cloud service providers, enter</w:t>
      </w:r>
      <w:r>
        <w:rPr>
          <w:rFonts w:ascii="Arial" w:eastAsia="宋体" w:hAnsi="Arial" w:cs="Arial"/>
          <w:color w:val="333333"/>
          <w:sz w:val="18"/>
          <w:szCs w:val="18"/>
        </w:rPr>
        <w:t>prise and government, and communications service providers. We offer customers an unmatched, broad portfolio of platforms and technologies designed to provide workload-optimized performance across compute, storage, and network. These offerings span the ful</w:t>
      </w:r>
      <w:r>
        <w:rPr>
          <w:rFonts w:ascii="Arial" w:eastAsia="宋体" w:hAnsi="Arial" w:cs="Arial"/>
          <w:color w:val="333333"/>
          <w:sz w:val="18"/>
          <w:szCs w:val="18"/>
        </w:rPr>
        <w:t xml:space="preserve">l spectrum from the data center core to the network edge. </w:t>
      </w:r>
    </w:p>
    <w:tbl>
      <w:tblPr>
        <w:tblW w:w="13900" w:type="dxa"/>
        <w:tblCellMar>
          <w:left w:w="0" w:type="dxa"/>
          <w:right w:w="0" w:type="dxa"/>
        </w:tblCellMar>
        <w:tblLook w:val="04A0" w:firstRow="1" w:lastRow="0" w:firstColumn="1" w:lastColumn="0" w:noHBand="0" w:noVBand="1"/>
      </w:tblPr>
      <w:tblGrid>
        <w:gridCol w:w="521"/>
        <w:gridCol w:w="6098"/>
        <w:gridCol w:w="1244"/>
        <w:gridCol w:w="6037"/>
      </w:tblGrid>
      <w:tr w:rsidR="002541AD" w14:paraId="3750EEB8" w14:textId="77777777">
        <w:tc>
          <w:tcPr>
            <w:tcW w:w="0" w:type="auto"/>
            <w:gridSpan w:val="4"/>
            <w:shd w:val="clear" w:color="auto" w:fill="auto"/>
            <w:vAlign w:val="center"/>
          </w:tcPr>
          <w:p w14:paraId="3750EEB7" w14:textId="77777777" w:rsidR="002541AD" w:rsidRDefault="002541AD">
            <w:pPr>
              <w:rPr>
                <w:rFonts w:ascii="Times New Roman" w:hAnsi="Times New Roman"/>
                <w:sz w:val="20"/>
                <w:szCs w:val="20"/>
              </w:rPr>
            </w:pPr>
          </w:p>
        </w:tc>
      </w:tr>
      <w:tr w:rsidR="002541AD" w14:paraId="3750EEBD" w14:textId="77777777">
        <w:tc>
          <w:tcPr>
            <w:tcW w:w="520" w:type="dxa"/>
            <w:shd w:val="clear" w:color="auto" w:fill="auto"/>
            <w:vAlign w:val="center"/>
          </w:tcPr>
          <w:p w14:paraId="3750EEB9" w14:textId="77777777" w:rsidR="002541AD" w:rsidRDefault="002541AD">
            <w:pPr>
              <w:rPr>
                <w:rFonts w:ascii="Times New Roman" w:hAnsi="Times New Roman"/>
                <w:sz w:val="20"/>
                <w:szCs w:val="20"/>
              </w:rPr>
            </w:pPr>
          </w:p>
        </w:tc>
        <w:tc>
          <w:tcPr>
            <w:tcW w:w="6080" w:type="dxa"/>
            <w:shd w:val="clear" w:color="auto" w:fill="auto"/>
            <w:vAlign w:val="center"/>
          </w:tcPr>
          <w:p w14:paraId="3750EEBA" w14:textId="77777777" w:rsidR="002541AD" w:rsidRDefault="002541AD">
            <w:pPr>
              <w:rPr>
                <w:rFonts w:ascii="Times New Roman" w:hAnsi="Times New Roman"/>
                <w:sz w:val="20"/>
                <w:szCs w:val="20"/>
              </w:rPr>
            </w:pPr>
          </w:p>
        </w:tc>
        <w:tc>
          <w:tcPr>
            <w:tcW w:w="1240" w:type="dxa"/>
            <w:shd w:val="clear" w:color="auto" w:fill="auto"/>
            <w:vAlign w:val="center"/>
          </w:tcPr>
          <w:p w14:paraId="3750EEBB" w14:textId="77777777" w:rsidR="002541AD" w:rsidRDefault="002541AD">
            <w:pPr>
              <w:rPr>
                <w:rFonts w:ascii="Times New Roman" w:hAnsi="Times New Roman"/>
                <w:sz w:val="20"/>
                <w:szCs w:val="20"/>
              </w:rPr>
            </w:pPr>
          </w:p>
        </w:tc>
        <w:tc>
          <w:tcPr>
            <w:tcW w:w="6020" w:type="dxa"/>
            <w:shd w:val="clear" w:color="auto" w:fill="auto"/>
            <w:vAlign w:val="center"/>
          </w:tcPr>
          <w:p w14:paraId="3750EEBC" w14:textId="77777777" w:rsidR="002541AD" w:rsidRDefault="002541AD">
            <w:pPr>
              <w:rPr>
                <w:rFonts w:ascii="Times New Roman" w:hAnsi="Times New Roman"/>
                <w:sz w:val="20"/>
                <w:szCs w:val="20"/>
              </w:rPr>
            </w:pPr>
          </w:p>
        </w:tc>
      </w:tr>
      <w:tr w:rsidR="002541AD" w14:paraId="3750EEC2" w14:textId="77777777">
        <w:tc>
          <w:tcPr>
            <w:tcW w:w="0" w:type="auto"/>
            <w:shd w:val="clear" w:color="auto" w:fill="auto"/>
            <w:tcMar>
              <w:top w:w="40" w:type="dxa"/>
              <w:left w:w="40" w:type="dxa"/>
              <w:bottom w:w="40" w:type="dxa"/>
              <w:right w:w="40" w:type="dxa"/>
            </w:tcMar>
            <w:vAlign w:val="bottom"/>
          </w:tcPr>
          <w:p w14:paraId="3750EEB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3750EEBF" w14:textId="77777777" w:rsidR="002541AD" w:rsidRDefault="00901AA6">
            <w:pPr>
              <w:jc w:val="center"/>
              <w:textAlignment w:val="bottom"/>
              <w:rPr>
                <w:rFonts w:ascii="Times New Roman" w:hAnsi="Times New Roman"/>
                <w:sz w:val="20"/>
                <w:szCs w:val="20"/>
              </w:rPr>
            </w:pPr>
            <w:r>
              <w:rPr>
                <w:rFonts w:ascii="Arial" w:eastAsia="宋体" w:hAnsi="Arial" w:cs="Arial"/>
                <w:b/>
                <w:bCs/>
                <w:color w:val="0071C5"/>
                <w:sz w:val="20"/>
                <w:szCs w:val="20"/>
              </w:rPr>
              <w:t>DCG REVENUE $B</w:t>
            </w:r>
          </w:p>
        </w:tc>
        <w:tc>
          <w:tcPr>
            <w:tcW w:w="0" w:type="auto"/>
            <w:shd w:val="clear" w:color="auto" w:fill="auto"/>
            <w:tcMar>
              <w:top w:w="40" w:type="dxa"/>
              <w:left w:w="40" w:type="dxa"/>
              <w:bottom w:w="40" w:type="dxa"/>
              <w:right w:w="40" w:type="dxa"/>
            </w:tcMar>
            <w:vAlign w:val="bottom"/>
          </w:tcPr>
          <w:p w14:paraId="3750EEC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3750EEC1" w14:textId="77777777" w:rsidR="002541AD" w:rsidRDefault="00901AA6">
            <w:pPr>
              <w:jc w:val="center"/>
              <w:textAlignment w:val="bottom"/>
              <w:rPr>
                <w:rFonts w:ascii="Times New Roman" w:hAnsi="Times New Roman"/>
                <w:sz w:val="20"/>
                <w:szCs w:val="20"/>
              </w:rPr>
            </w:pPr>
            <w:r>
              <w:rPr>
                <w:rFonts w:ascii="Arial" w:eastAsia="宋体" w:hAnsi="Arial" w:cs="Arial"/>
                <w:b/>
                <w:bCs/>
                <w:color w:val="0071C5"/>
                <w:sz w:val="20"/>
                <w:szCs w:val="20"/>
              </w:rPr>
              <w:t>DCG OPERATING INCOME $B</w:t>
            </w:r>
          </w:p>
        </w:tc>
      </w:tr>
    </w:tbl>
    <w:p w14:paraId="3750EEC3" w14:textId="77777777" w:rsidR="002541AD" w:rsidRDefault="002541AD">
      <w:pPr>
        <w:spacing w:line="288" w:lineRule="auto"/>
        <w:rPr>
          <w:rFonts w:ascii="Times New Roman" w:hAnsi="Times New Roman"/>
          <w:sz w:val="18"/>
          <w:szCs w:val="18"/>
        </w:rPr>
      </w:pPr>
    </w:p>
    <w:p w14:paraId="3750EEC4" w14:textId="77777777" w:rsidR="002541AD" w:rsidRDefault="00901AA6">
      <w:pPr>
        <w:spacing w:line="288" w:lineRule="auto"/>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Viewer11_files/dcg_revenue.jpg"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3750F88F" wp14:editId="3750F890">
            <wp:extent cx="304800" cy="304800"/>
            <wp:effectExtent l="0" t="0" r="0" b="0"/>
            <wp:docPr id="95" name="图片 93"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3"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/INTEL/./Inline XBRL Viewer11_files/dcgopincome.jp</w:instrText>
      </w:r>
      <w:r>
        <w:rPr>
          <w:rFonts w:ascii="Times New Roman" w:eastAsia="宋体" w:hAnsi="Times New Roman"/>
          <w:sz w:val="20"/>
          <w:szCs w:val="20"/>
        </w:rPr>
        <w:instrText xml:space="preserve">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3750F891" wp14:editId="3750F892">
            <wp:extent cx="304800" cy="304800"/>
            <wp:effectExtent l="0" t="0" r="0" b="0"/>
            <wp:docPr id="5" name="图片 94"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4" descr="IMG_28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14640" w:type="dxa"/>
        <w:tblCellMar>
          <w:left w:w="0" w:type="dxa"/>
          <w:right w:w="0" w:type="dxa"/>
        </w:tblCellMar>
        <w:tblLook w:val="04A0" w:firstRow="1" w:lastRow="0" w:firstColumn="1" w:lastColumn="0" w:noHBand="0" w:noVBand="1"/>
      </w:tblPr>
      <w:tblGrid>
        <w:gridCol w:w="1643"/>
        <w:gridCol w:w="1782"/>
        <w:gridCol w:w="11215"/>
      </w:tblGrid>
      <w:tr w:rsidR="002541AD" w14:paraId="3750EEC6" w14:textId="77777777">
        <w:tc>
          <w:tcPr>
            <w:tcW w:w="0" w:type="auto"/>
            <w:gridSpan w:val="3"/>
            <w:shd w:val="clear" w:color="auto" w:fill="auto"/>
            <w:vAlign w:val="center"/>
          </w:tcPr>
          <w:p w14:paraId="3750EEC5" w14:textId="77777777" w:rsidR="002541AD" w:rsidRDefault="002541AD">
            <w:pPr>
              <w:rPr>
                <w:rFonts w:ascii="Times New Roman" w:hAnsi="Times New Roman"/>
                <w:sz w:val="20"/>
                <w:szCs w:val="20"/>
              </w:rPr>
            </w:pPr>
          </w:p>
        </w:tc>
      </w:tr>
      <w:tr w:rsidR="002541AD" w14:paraId="3750EECA" w14:textId="77777777">
        <w:tc>
          <w:tcPr>
            <w:tcW w:w="1640" w:type="dxa"/>
            <w:shd w:val="clear" w:color="auto" w:fill="auto"/>
            <w:vAlign w:val="center"/>
          </w:tcPr>
          <w:p w14:paraId="3750EEC7" w14:textId="77777777" w:rsidR="002541AD" w:rsidRDefault="002541AD">
            <w:pPr>
              <w:rPr>
                <w:rFonts w:ascii="Times New Roman" w:hAnsi="Times New Roman"/>
                <w:sz w:val="20"/>
                <w:szCs w:val="20"/>
              </w:rPr>
            </w:pPr>
          </w:p>
        </w:tc>
        <w:tc>
          <w:tcPr>
            <w:tcW w:w="1780" w:type="dxa"/>
            <w:shd w:val="clear" w:color="auto" w:fill="auto"/>
            <w:vAlign w:val="center"/>
          </w:tcPr>
          <w:p w14:paraId="3750EEC8" w14:textId="77777777" w:rsidR="002541AD" w:rsidRDefault="002541AD">
            <w:pPr>
              <w:rPr>
                <w:rFonts w:ascii="Times New Roman" w:hAnsi="Times New Roman"/>
                <w:sz w:val="20"/>
                <w:szCs w:val="20"/>
              </w:rPr>
            </w:pPr>
          </w:p>
        </w:tc>
        <w:tc>
          <w:tcPr>
            <w:tcW w:w="11200" w:type="dxa"/>
            <w:shd w:val="clear" w:color="auto" w:fill="auto"/>
            <w:vAlign w:val="center"/>
          </w:tcPr>
          <w:p w14:paraId="3750EEC9" w14:textId="77777777" w:rsidR="002541AD" w:rsidRDefault="002541AD">
            <w:pPr>
              <w:rPr>
                <w:rFonts w:ascii="Times New Roman" w:hAnsi="Times New Roman"/>
                <w:sz w:val="20"/>
                <w:szCs w:val="20"/>
              </w:rPr>
            </w:pPr>
          </w:p>
        </w:tc>
      </w:tr>
      <w:tr w:rsidR="002541AD" w14:paraId="3750EECE" w14:textId="77777777">
        <w:tc>
          <w:tcPr>
            <w:tcW w:w="0" w:type="auto"/>
            <w:shd w:val="clear" w:color="auto" w:fill="auto"/>
            <w:tcMar>
              <w:top w:w="40" w:type="dxa"/>
              <w:left w:w="40" w:type="dxa"/>
              <w:bottom w:w="40" w:type="dxa"/>
              <w:right w:w="40" w:type="dxa"/>
            </w:tcMar>
            <w:vAlign w:val="bottom"/>
          </w:tcPr>
          <w:p w14:paraId="3750EEC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3750EECC" w14:textId="77777777" w:rsidR="002541AD" w:rsidRDefault="00901AA6">
            <w:pPr>
              <w:textAlignment w:val="center"/>
              <w:rPr>
                <w:rFonts w:ascii="Times New Roman" w:hAnsi="Times New Roman"/>
                <w:sz w:val="18"/>
                <w:szCs w:val="18"/>
              </w:rPr>
            </w:pPr>
            <w:r>
              <w:rPr>
                <w:rFonts w:ascii="Arial" w:eastAsia="宋体" w:hAnsi="Arial" w:cs="Arial"/>
                <w:color w:val="003C71"/>
                <w:sz w:val="18"/>
                <w:szCs w:val="18"/>
              </w:rPr>
              <w:t>■</w:t>
            </w:r>
            <w:r>
              <w:rPr>
                <w:rFonts w:ascii="Arial" w:eastAsia="宋体" w:hAnsi="Arial" w:cs="Arial"/>
                <w:color w:val="333333"/>
                <w:sz w:val="18"/>
                <w:szCs w:val="18"/>
              </w:rPr>
              <w:t> </w:t>
            </w:r>
            <w:r>
              <w:rPr>
                <w:rFonts w:ascii="Arial" w:eastAsia="宋体" w:hAnsi="Arial" w:cs="Arial"/>
                <w:color w:val="333333"/>
                <w:sz w:val="16"/>
                <w:szCs w:val="16"/>
              </w:rPr>
              <w:t>Platform</w:t>
            </w:r>
          </w:p>
        </w:tc>
        <w:tc>
          <w:tcPr>
            <w:tcW w:w="0" w:type="auto"/>
            <w:shd w:val="clear" w:color="auto" w:fill="auto"/>
            <w:tcMar>
              <w:top w:w="40" w:type="dxa"/>
              <w:left w:w="40" w:type="dxa"/>
              <w:bottom w:w="40" w:type="dxa"/>
              <w:right w:w="40" w:type="dxa"/>
            </w:tcMar>
            <w:vAlign w:val="center"/>
          </w:tcPr>
          <w:p w14:paraId="3750EECD" w14:textId="77777777" w:rsidR="002541AD" w:rsidRDefault="00901AA6">
            <w:pPr>
              <w:textAlignment w:val="center"/>
              <w:rPr>
                <w:rFonts w:ascii="Times New Roman" w:hAnsi="Times New Roman"/>
                <w:sz w:val="18"/>
                <w:szCs w:val="18"/>
              </w:rPr>
            </w:pPr>
            <w:r>
              <w:rPr>
                <w:rFonts w:ascii="Arial" w:eastAsia="宋体" w:hAnsi="Arial" w:cs="Arial"/>
                <w:color w:val="FFA300"/>
                <w:sz w:val="18"/>
                <w:szCs w:val="18"/>
              </w:rPr>
              <w:t>■</w:t>
            </w:r>
            <w:r>
              <w:rPr>
                <w:rFonts w:ascii="Arial" w:eastAsia="宋体" w:hAnsi="Arial" w:cs="Arial"/>
                <w:color w:val="333333"/>
                <w:sz w:val="18"/>
                <w:szCs w:val="18"/>
              </w:rPr>
              <w:t> </w:t>
            </w:r>
            <w:r>
              <w:rPr>
                <w:rFonts w:ascii="Arial" w:eastAsia="宋体" w:hAnsi="Arial" w:cs="Arial"/>
                <w:color w:val="333333"/>
                <w:sz w:val="16"/>
                <w:szCs w:val="16"/>
              </w:rPr>
              <w:t>Adjacent</w:t>
            </w:r>
          </w:p>
        </w:tc>
      </w:tr>
    </w:tbl>
    <w:p w14:paraId="3750EECF" w14:textId="77777777" w:rsidR="002541AD" w:rsidRDefault="002541AD">
      <w:pPr>
        <w:rPr>
          <w:vanish/>
        </w:rPr>
      </w:pPr>
    </w:p>
    <w:tbl>
      <w:tblPr>
        <w:tblW w:w="5000" w:type="pct"/>
        <w:tblCellMar>
          <w:left w:w="0" w:type="dxa"/>
          <w:right w:w="0" w:type="dxa"/>
        </w:tblCellMar>
        <w:tblLook w:val="04A0" w:firstRow="1" w:lastRow="0" w:firstColumn="1" w:lastColumn="0" w:noHBand="0" w:noVBand="1"/>
      </w:tblPr>
      <w:tblGrid>
        <w:gridCol w:w="8306"/>
      </w:tblGrid>
      <w:tr w:rsidR="002541AD" w14:paraId="3750EED1" w14:textId="77777777">
        <w:tc>
          <w:tcPr>
            <w:tcW w:w="0" w:type="auto"/>
            <w:shd w:val="clear" w:color="auto" w:fill="auto"/>
            <w:vAlign w:val="center"/>
          </w:tcPr>
          <w:p w14:paraId="3750EED0" w14:textId="77777777" w:rsidR="002541AD" w:rsidRDefault="002541AD">
            <w:pPr>
              <w:rPr>
                <w:rFonts w:ascii="Times New Roman" w:hAnsi="Times New Roman"/>
                <w:sz w:val="20"/>
                <w:szCs w:val="20"/>
              </w:rPr>
            </w:pPr>
          </w:p>
        </w:tc>
      </w:tr>
      <w:tr w:rsidR="002541AD" w14:paraId="3750EED3" w14:textId="77777777">
        <w:tc>
          <w:tcPr>
            <w:tcW w:w="5000" w:type="pct"/>
            <w:shd w:val="clear" w:color="auto" w:fill="auto"/>
            <w:vAlign w:val="center"/>
          </w:tcPr>
          <w:p w14:paraId="3750EED2" w14:textId="77777777" w:rsidR="002541AD" w:rsidRDefault="002541AD">
            <w:pPr>
              <w:rPr>
                <w:rFonts w:ascii="Times New Roman" w:hAnsi="Times New Roman"/>
                <w:sz w:val="20"/>
                <w:szCs w:val="20"/>
              </w:rPr>
            </w:pPr>
          </w:p>
        </w:tc>
      </w:tr>
      <w:tr w:rsidR="002541AD" w14:paraId="3750EED5"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3750EED4" w14:textId="77777777" w:rsidR="002541AD" w:rsidRDefault="00901AA6">
            <w:pPr>
              <w:textAlignment w:val="bottom"/>
              <w:rPr>
                <w:rFonts w:ascii="Times New Roman" w:hAnsi="Times New Roman"/>
                <w:sz w:val="20"/>
                <w:szCs w:val="20"/>
              </w:rPr>
            </w:pPr>
            <w:r>
              <w:rPr>
                <w:rFonts w:ascii="Arial" w:eastAsia="宋体" w:hAnsi="Arial" w:cs="Arial"/>
                <w:b/>
                <w:bCs/>
                <w:color w:val="0071C5"/>
                <w:sz w:val="20"/>
                <w:szCs w:val="20"/>
              </w:rPr>
              <w:t>REVENUE SUMMARY</w:t>
            </w:r>
          </w:p>
        </w:tc>
      </w:tr>
    </w:tbl>
    <w:p w14:paraId="3750EED6"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Revenue in Q1 2020 was up 43% compared to Q1 2019 driven by increased volume and strong mix of platform products resulting in higher ASPs. In Q1 2020, revenue in the cloud service providers market segment was up 53% as cloud service providers added capacit</w:t>
      </w:r>
      <w:r>
        <w:rPr>
          <w:rFonts w:ascii="Arial" w:eastAsia="宋体" w:hAnsi="Arial" w:cs="Arial"/>
          <w:color w:val="333333"/>
          <w:sz w:val="18"/>
          <w:szCs w:val="18"/>
        </w:rPr>
        <w:t xml:space="preserve">y to serve demand. The enterprise and government market segment was up 34%, and the communications service providers market segment was up 33% year over year. </w:t>
      </w:r>
    </w:p>
    <w:p w14:paraId="3750EED7"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We expect continued strength from cloud service providers and communications service providers i</w:t>
      </w:r>
      <w:r>
        <w:rPr>
          <w:rFonts w:ascii="Arial" w:eastAsia="宋体" w:hAnsi="Arial" w:cs="Arial"/>
          <w:color w:val="333333"/>
          <w:sz w:val="18"/>
          <w:szCs w:val="18"/>
        </w:rPr>
        <w:t xml:space="preserve">n Q2 2020, and anticipate demand in the enterprise and government segment to weaken in the second half of 2020. </w:t>
      </w:r>
    </w:p>
    <w:tbl>
      <w:tblPr>
        <w:tblW w:w="5000" w:type="pct"/>
        <w:tblCellMar>
          <w:left w:w="0" w:type="dxa"/>
          <w:right w:w="0" w:type="dxa"/>
        </w:tblCellMar>
        <w:tblLook w:val="04A0" w:firstRow="1" w:lastRow="0" w:firstColumn="1" w:lastColumn="0" w:noHBand="0" w:noVBand="1"/>
      </w:tblPr>
      <w:tblGrid>
        <w:gridCol w:w="5957"/>
        <w:gridCol w:w="559"/>
        <w:gridCol w:w="642"/>
        <w:gridCol w:w="130"/>
        <w:gridCol w:w="142"/>
        <w:gridCol w:w="809"/>
        <w:gridCol w:w="67"/>
      </w:tblGrid>
      <w:tr w:rsidR="002541AD" w14:paraId="3750EED9" w14:textId="77777777">
        <w:tc>
          <w:tcPr>
            <w:tcW w:w="0" w:type="auto"/>
            <w:gridSpan w:val="7"/>
            <w:shd w:val="clear" w:color="auto" w:fill="auto"/>
            <w:vAlign w:val="center"/>
          </w:tcPr>
          <w:p w14:paraId="3750EED8" w14:textId="77777777" w:rsidR="002541AD" w:rsidRDefault="002541AD">
            <w:pPr>
              <w:rPr>
                <w:rFonts w:ascii="Times New Roman" w:hAnsi="Times New Roman"/>
                <w:sz w:val="20"/>
                <w:szCs w:val="20"/>
              </w:rPr>
            </w:pPr>
          </w:p>
        </w:tc>
      </w:tr>
      <w:tr w:rsidR="002541AD" w14:paraId="3750EEE1" w14:textId="77777777">
        <w:tc>
          <w:tcPr>
            <w:tcW w:w="3600" w:type="pct"/>
            <w:shd w:val="clear" w:color="auto" w:fill="auto"/>
            <w:vAlign w:val="center"/>
          </w:tcPr>
          <w:p w14:paraId="3750EEDA" w14:textId="77777777" w:rsidR="002541AD" w:rsidRDefault="002541AD">
            <w:pPr>
              <w:rPr>
                <w:rFonts w:ascii="Times New Roman" w:hAnsi="Times New Roman"/>
                <w:sz w:val="20"/>
                <w:szCs w:val="20"/>
              </w:rPr>
            </w:pPr>
          </w:p>
        </w:tc>
        <w:tc>
          <w:tcPr>
            <w:tcW w:w="350" w:type="pct"/>
            <w:shd w:val="clear" w:color="auto" w:fill="auto"/>
            <w:vAlign w:val="center"/>
          </w:tcPr>
          <w:p w14:paraId="3750EEDB" w14:textId="77777777" w:rsidR="002541AD" w:rsidRDefault="002541AD">
            <w:pPr>
              <w:rPr>
                <w:rFonts w:ascii="Times New Roman" w:hAnsi="Times New Roman"/>
                <w:sz w:val="20"/>
                <w:szCs w:val="20"/>
              </w:rPr>
            </w:pPr>
          </w:p>
        </w:tc>
        <w:tc>
          <w:tcPr>
            <w:tcW w:w="400" w:type="pct"/>
            <w:shd w:val="clear" w:color="auto" w:fill="auto"/>
            <w:vAlign w:val="center"/>
          </w:tcPr>
          <w:p w14:paraId="3750EEDC" w14:textId="77777777" w:rsidR="002541AD" w:rsidRDefault="002541AD">
            <w:pPr>
              <w:rPr>
                <w:rFonts w:ascii="Times New Roman" w:hAnsi="Times New Roman"/>
                <w:sz w:val="20"/>
                <w:szCs w:val="20"/>
              </w:rPr>
            </w:pPr>
          </w:p>
        </w:tc>
        <w:tc>
          <w:tcPr>
            <w:tcW w:w="50" w:type="pct"/>
            <w:shd w:val="clear" w:color="auto" w:fill="auto"/>
            <w:vAlign w:val="center"/>
          </w:tcPr>
          <w:p w14:paraId="3750EEDD" w14:textId="77777777" w:rsidR="002541AD" w:rsidRDefault="002541AD">
            <w:pPr>
              <w:rPr>
                <w:rFonts w:ascii="Times New Roman" w:hAnsi="Times New Roman"/>
                <w:sz w:val="20"/>
                <w:szCs w:val="20"/>
              </w:rPr>
            </w:pPr>
          </w:p>
        </w:tc>
        <w:tc>
          <w:tcPr>
            <w:tcW w:w="50" w:type="pct"/>
            <w:shd w:val="clear" w:color="auto" w:fill="auto"/>
            <w:vAlign w:val="center"/>
          </w:tcPr>
          <w:p w14:paraId="3750EEDE" w14:textId="77777777" w:rsidR="002541AD" w:rsidRDefault="002541AD">
            <w:pPr>
              <w:rPr>
                <w:rFonts w:ascii="Times New Roman" w:hAnsi="Times New Roman"/>
                <w:sz w:val="20"/>
                <w:szCs w:val="20"/>
              </w:rPr>
            </w:pPr>
          </w:p>
        </w:tc>
        <w:tc>
          <w:tcPr>
            <w:tcW w:w="500" w:type="pct"/>
            <w:shd w:val="clear" w:color="auto" w:fill="auto"/>
            <w:vAlign w:val="center"/>
          </w:tcPr>
          <w:p w14:paraId="3750EEDF" w14:textId="77777777" w:rsidR="002541AD" w:rsidRDefault="002541AD">
            <w:pPr>
              <w:rPr>
                <w:rFonts w:ascii="Times New Roman" w:hAnsi="Times New Roman"/>
                <w:sz w:val="20"/>
                <w:szCs w:val="20"/>
              </w:rPr>
            </w:pPr>
          </w:p>
        </w:tc>
        <w:tc>
          <w:tcPr>
            <w:tcW w:w="50" w:type="pct"/>
            <w:shd w:val="clear" w:color="auto" w:fill="auto"/>
            <w:vAlign w:val="center"/>
          </w:tcPr>
          <w:p w14:paraId="3750EEE0" w14:textId="77777777" w:rsidR="002541AD" w:rsidRDefault="002541AD">
            <w:pPr>
              <w:rPr>
                <w:rFonts w:ascii="Times New Roman" w:hAnsi="Times New Roman"/>
                <w:sz w:val="20"/>
                <w:szCs w:val="20"/>
              </w:rPr>
            </w:pPr>
          </w:p>
        </w:tc>
      </w:tr>
      <w:tr w:rsidR="002541AD" w14:paraId="3750EEE4" w14:textId="77777777">
        <w:tc>
          <w:tcPr>
            <w:tcW w:w="0" w:type="auto"/>
            <w:shd w:val="clear" w:color="auto" w:fill="auto"/>
            <w:tcMar>
              <w:top w:w="40" w:type="dxa"/>
              <w:left w:w="40" w:type="dxa"/>
              <w:bottom w:w="40" w:type="dxa"/>
              <w:right w:w="40" w:type="dxa"/>
            </w:tcMar>
            <w:vAlign w:val="bottom"/>
          </w:tcPr>
          <w:p w14:paraId="3750EEE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71C5"/>
            </w:tcBorders>
            <w:shd w:val="clear" w:color="auto" w:fill="auto"/>
            <w:tcMar>
              <w:top w:w="40" w:type="dxa"/>
              <w:left w:w="40" w:type="dxa"/>
              <w:bottom w:w="40" w:type="dxa"/>
              <w:right w:w="40" w:type="dxa"/>
            </w:tcMar>
            <w:vAlign w:val="bottom"/>
          </w:tcPr>
          <w:p w14:paraId="3750EEE3"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Q1 2020 vs. Q1 2019</w:t>
            </w:r>
          </w:p>
        </w:tc>
      </w:tr>
      <w:tr w:rsidR="002541AD" w14:paraId="3750EEE9"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EEE5"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(Dollars in Millions)</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3750EEE6"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 </w:t>
            </w:r>
          </w:p>
        </w:tc>
        <w:tc>
          <w:tcPr>
            <w:tcW w:w="0" w:type="auto"/>
            <w:shd w:val="clear" w:color="auto" w:fill="auto"/>
            <w:tcMar>
              <w:top w:w="40" w:type="dxa"/>
              <w:left w:w="40" w:type="dxa"/>
              <w:bottom w:w="40" w:type="dxa"/>
              <w:right w:w="40" w:type="dxa"/>
            </w:tcMar>
            <w:vAlign w:val="bottom"/>
          </w:tcPr>
          <w:p w14:paraId="3750EEE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EEE8"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Impact</w:t>
            </w:r>
          </w:p>
        </w:tc>
      </w:tr>
      <w:tr w:rsidR="002541AD" w14:paraId="3750EEEF" w14:textId="77777777">
        <w:tc>
          <w:tcPr>
            <w:tcW w:w="0" w:type="auto"/>
            <w:shd w:val="clear" w:color="auto" w:fill="auto"/>
            <w:tcMar>
              <w:top w:w="40" w:type="dxa"/>
              <w:left w:w="40" w:type="dxa"/>
              <w:bottom w:w="40" w:type="dxa"/>
              <w:right w:w="40" w:type="dxa"/>
            </w:tcMar>
            <w:vAlign w:val="bottom"/>
          </w:tcPr>
          <w:p w14:paraId="3750EEE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EE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EE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EE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EE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EF7" w14:textId="77777777">
        <w:tc>
          <w:tcPr>
            <w:tcW w:w="0" w:type="auto"/>
            <w:shd w:val="clear" w:color="auto" w:fill="auto"/>
            <w:tcMar>
              <w:top w:w="40" w:type="dxa"/>
              <w:left w:w="40" w:type="dxa"/>
              <w:bottom w:w="40" w:type="dxa"/>
              <w:right w:w="40" w:type="dxa"/>
            </w:tcMar>
            <w:vAlign w:val="center"/>
          </w:tcPr>
          <w:p w14:paraId="3750EEF0" w14:textId="77777777" w:rsidR="002541AD" w:rsidRDefault="00901AA6">
            <w:pPr>
              <w:textAlignment w:val="center"/>
              <w:rPr>
                <w:rFonts w:ascii="Times New Roman" w:hAnsi="Times New Roman"/>
                <w:sz w:val="18"/>
                <w:szCs w:val="18"/>
              </w:rPr>
            </w:pPr>
            <w:r>
              <w:rPr>
                <w:rFonts w:ascii="Arial" w:eastAsia="宋体" w:hAnsi="Arial" w:cs="Arial"/>
                <w:color w:val="333333"/>
                <w:sz w:val="18"/>
                <w:szCs w:val="18"/>
              </w:rPr>
              <w:t>Platform volume</w:t>
            </w:r>
          </w:p>
        </w:tc>
        <w:tc>
          <w:tcPr>
            <w:tcW w:w="0" w:type="auto"/>
            <w:shd w:val="clear" w:color="auto" w:fill="auto"/>
            <w:tcMar>
              <w:top w:w="40" w:type="dxa"/>
              <w:left w:w="40" w:type="dxa"/>
              <w:bottom w:w="40" w:type="dxa"/>
              <w:right w:w="40" w:type="dxa"/>
            </w:tcMar>
            <w:vAlign w:val="center"/>
          </w:tcPr>
          <w:p w14:paraId="3750EEF1" w14:textId="77777777" w:rsidR="002541AD" w:rsidRDefault="00901AA6">
            <w:pPr>
              <w:jc w:val="right"/>
              <w:textAlignment w:val="center"/>
              <w:rPr>
                <w:rFonts w:ascii="Times New Roman" w:hAnsi="Times New Roman"/>
                <w:sz w:val="18"/>
                <w:szCs w:val="18"/>
              </w:rPr>
            </w:pPr>
            <w:r>
              <w:rPr>
                <w:rFonts w:ascii="Arial" w:eastAsia="宋体" w:hAnsi="Arial" w:cs="Arial"/>
                <w:color w:val="0071C5"/>
                <w:sz w:val="18"/>
                <w:szCs w:val="18"/>
              </w:rPr>
              <w:t>up</w:t>
            </w:r>
          </w:p>
        </w:tc>
        <w:tc>
          <w:tcPr>
            <w:tcW w:w="0" w:type="auto"/>
            <w:shd w:val="clear" w:color="auto" w:fill="auto"/>
            <w:tcMar>
              <w:top w:w="40" w:type="dxa"/>
              <w:left w:w="40" w:type="dxa"/>
              <w:bottom w:w="40" w:type="dxa"/>
              <w:right w:w="40" w:type="dxa"/>
            </w:tcMar>
            <w:vAlign w:val="center"/>
          </w:tcPr>
          <w:p w14:paraId="3750EEF2" w14:textId="77777777" w:rsidR="002541AD" w:rsidRDefault="00901AA6">
            <w:pPr>
              <w:textAlignment w:val="center"/>
              <w:rPr>
                <w:rFonts w:ascii="Times New Roman" w:hAnsi="Times New Roman"/>
                <w:sz w:val="18"/>
                <w:szCs w:val="18"/>
              </w:rPr>
            </w:pPr>
            <w:r>
              <w:rPr>
                <w:rFonts w:ascii="Arial" w:eastAsia="宋体" w:hAnsi="Arial" w:cs="Arial"/>
                <w:color w:val="0071C5"/>
                <w:sz w:val="18"/>
                <w:szCs w:val="18"/>
              </w:rPr>
              <w:t>27%</w:t>
            </w:r>
          </w:p>
        </w:tc>
        <w:tc>
          <w:tcPr>
            <w:tcW w:w="0" w:type="auto"/>
            <w:shd w:val="clear" w:color="auto" w:fill="auto"/>
            <w:tcMar>
              <w:top w:w="40" w:type="dxa"/>
              <w:left w:w="40" w:type="dxa"/>
              <w:bottom w:w="40" w:type="dxa"/>
              <w:right w:w="40" w:type="dxa"/>
            </w:tcMar>
            <w:vAlign w:val="bottom"/>
          </w:tcPr>
          <w:p w14:paraId="3750EEF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3750EEF4" w14:textId="77777777" w:rsidR="002541AD" w:rsidRDefault="00901AA6">
            <w:pPr>
              <w:textAlignment w:val="center"/>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center"/>
          </w:tcPr>
          <w:p w14:paraId="3750EEF5" w14:textId="77777777" w:rsidR="002541AD" w:rsidRDefault="00901AA6">
            <w:pPr>
              <w:jc w:val="right"/>
              <w:textAlignment w:val="center"/>
              <w:rPr>
                <w:rFonts w:ascii="Times New Roman" w:hAnsi="Times New Roman"/>
                <w:sz w:val="18"/>
                <w:szCs w:val="18"/>
              </w:rPr>
            </w:pPr>
            <w:r>
              <w:rPr>
                <w:rFonts w:ascii="Arial" w:eastAsia="宋体" w:hAnsi="Arial" w:cs="Arial"/>
                <w:color w:val="0071C5"/>
                <w:sz w:val="18"/>
                <w:szCs w:val="18"/>
              </w:rPr>
              <w:t>1,230</w:t>
            </w:r>
          </w:p>
        </w:tc>
        <w:tc>
          <w:tcPr>
            <w:tcW w:w="0" w:type="auto"/>
            <w:shd w:val="clear" w:color="auto" w:fill="auto"/>
            <w:vAlign w:val="bottom"/>
          </w:tcPr>
          <w:p w14:paraId="3750EEF6" w14:textId="77777777" w:rsidR="002541AD" w:rsidRDefault="002541AD">
            <w:pPr>
              <w:textAlignment w:val="bottom"/>
              <w:rPr>
                <w:rFonts w:ascii="Times New Roman" w:hAnsi="Times New Roman"/>
                <w:sz w:val="20"/>
                <w:szCs w:val="20"/>
              </w:rPr>
            </w:pPr>
          </w:p>
        </w:tc>
      </w:tr>
      <w:tr w:rsidR="002541AD" w14:paraId="3750EEFE" w14:textId="77777777">
        <w:tc>
          <w:tcPr>
            <w:tcW w:w="0" w:type="auto"/>
            <w:shd w:val="clear" w:color="auto" w:fill="auto"/>
            <w:tcMar>
              <w:top w:w="40" w:type="dxa"/>
              <w:left w:w="40" w:type="dxa"/>
              <w:bottom w:w="40" w:type="dxa"/>
              <w:right w:w="40" w:type="dxa"/>
            </w:tcMar>
            <w:vAlign w:val="bottom"/>
          </w:tcPr>
          <w:p w14:paraId="3750EEF8"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Platform ASP</w:t>
            </w:r>
          </w:p>
        </w:tc>
        <w:tc>
          <w:tcPr>
            <w:tcW w:w="0" w:type="auto"/>
            <w:shd w:val="clear" w:color="auto" w:fill="auto"/>
            <w:tcMar>
              <w:top w:w="40" w:type="dxa"/>
              <w:left w:w="40" w:type="dxa"/>
              <w:bottom w:w="40" w:type="dxa"/>
              <w:right w:w="40" w:type="dxa"/>
            </w:tcMar>
            <w:vAlign w:val="center"/>
          </w:tcPr>
          <w:p w14:paraId="3750EEF9" w14:textId="77777777" w:rsidR="002541AD" w:rsidRDefault="00901AA6">
            <w:pPr>
              <w:jc w:val="right"/>
              <w:textAlignment w:val="center"/>
              <w:rPr>
                <w:rFonts w:ascii="Times New Roman" w:hAnsi="Times New Roman"/>
                <w:sz w:val="18"/>
                <w:szCs w:val="18"/>
              </w:rPr>
            </w:pPr>
            <w:r>
              <w:rPr>
                <w:rFonts w:ascii="Arial" w:eastAsia="宋体" w:hAnsi="Arial" w:cs="Arial"/>
                <w:color w:val="0071C5"/>
                <w:sz w:val="18"/>
                <w:szCs w:val="18"/>
              </w:rPr>
              <w:t>up</w:t>
            </w:r>
          </w:p>
        </w:tc>
        <w:tc>
          <w:tcPr>
            <w:tcW w:w="0" w:type="auto"/>
            <w:shd w:val="clear" w:color="auto" w:fill="auto"/>
            <w:tcMar>
              <w:top w:w="40" w:type="dxa"/>
              <w:left w:w="40" w:type="dxa"/>
              <w:bottom w:w="40" w:type="dxa"/>
              <w:right w:w="40" w:type="dxa"/>
            </w:tcMar>
            <w:vAlign w:val="center"/>
          </w:tcPr>
          <w:p w14:paraId="3750EEFA" w14:textId="77777777" w:rsidR="002541AD" w:rsidRDefault="00901AA6">
            <w:pPr>
              <w:textAlignment w:val="center"/>
              <w:rPr>
                <w:rFonts w:ascii="Times New Roman" w:hAnsi="Times New Roman"/>
                <w:sz w:val="18"/>
                <w:szCs w:val="18"/>
              </w:rPr>
            </w:pPr>
            <w:r>
              <w:rPr>
                <w:rFonts w:ascii="Arial" w:eastAsia="宋体" w:hAnsi="Arial" w:cs="Arial"/>
                <w:color w:val="0071C5"/>
                <w:sz w:val="18"/>
                <w:szCs w:val="18"/>
              </w:rPr>
              <w:t>13%</w:t>
            </w:r>
          </w:p>
        </w:tc>
        <w:tc>
          <w:tcPr>
            <w:tcW w:w="0" w:type="auto"/>
            <w:shd w:val="clear" w:color="auto" w:fill="auto"/>
            <w:tcMar>
              <w:top w:w="40" w:type="dxa"/>
              <w:left w:w="40" w:type="dxa"/>
              <w:bottom w:w="40" w:type="dxa"/>
              <w:right w:w="40" w:type="dxa"/>
            </w:tcMar>
            <w:vAlign w:val="bottom"/>
          </w:tcPr>
          <w:p w14:paraId="3750EEF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3750EEFC" w14:textId="77777777" w:rsidR="002541AD" w:rsidRDefault="00901AA6">
            <w:pPr>
              <w:jc w:val="right"/>
              <w:textAlignment w:val="center"/>
              <w:rPr>
                <w:rFonts w:ascii="Times New Roman" w:hAnsi="Times New Roman"/>
                <w:sz w:val="18"/>
                <w:szCs w:val="18"/>
              </w:rPr>
            </w:pPr>
            <w:r>
              <w:rPr>
                <w:rFonts w:ascii="Arial" w:eastAsia="宋体" w:hAnsi="Arial" w:cs="Arial"/>
                <w:color w:val="0071C5"/>
                <w:sz w:val="18"/>
                <w:szCs w:val="18"/>
              </w:rPr>
              <w:t>715</w:t>
            </w:r>
          </w:p>
        </w:tc>
        <w:tc>
          <w:tcPr>
            <w:tcW w:w="0" w:type="auto"/>
            <w:shd w:val="clear" w:color="auto" w:fill="auto"/>
            <w:vAlign w:val="bottom"/>
          </w:tcPr>
          <w:p w14:paraId="3750EEFD" w14:textId="77777777" w:rsidR="002541AD" w:rsidRDefault="002541AD">
            <w:pPr>
              <w:textAlignment w:val="bottom"/>
              <w:rPr>
                <w:rFonts w:ascii="Times New Roman" w:hAnsi="Times New Roman"/>
                <w:sz w:val="20"/>
                <w:szCs w:val="20"/>
              </w:rPr>
            </w:pPr>
          </w:p>
        </w:tc>
      </w:tr>
      <w:tr w:rsidR="002541AD" w14:paraId="3750EF05" w14:textId="77777777">
        <w:tc>
          <w:tcPr>
            <w:tcW w:w="0" w:type="auto"/>
            <w:shd w:val="clear" w:color="auto" w:fill="auto"/>
            <w:tcMar>
              <w:top w:w="40" w:type="dxa"/>
              <w:left w:w="40" w:type="dxa"/>
              <w:bottom w:w="40" w:type="dxa"/>
              <w:right w:w="40" w:type="dxa"/>
            </w:tcMar>
            <w:vAlign w:val="bottom"/>
          </w:tcPr>
          <w:p w14:paraId="3750EEFF"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Adjacent products</w:t>
            </w:r>
          </w:p>
        </w:tc>
        <w:tc>
          <w:tcPr>
            <w:tcW w:w="0" w:type="auto"/>
            <w:shd w:val="clear" w:color="auto" w:fill="auto"/>
            <w:tcMar>
              <w:top w:w="40" w:type="dxa"/>
              <w:left w:w="40" w:type="dxa"/>
              <w:bottom w:w="40" w:type="dxa"/>
              <w:right w:w="40" w:type="dxa"/>
            </w:tcMar>
            <w:vAlign w:val="center"/>
          </w:tcPr>
          <w:p w14:paraId="3750EF00" w14:textId="77777777" w:rsidR="002541AD" w:rsidRDefault="00901AA6">
            <w:pPr>
              <w:jc w:val="right"/>
              <w:textAlignment w:val="center"/>
              <w:rPr>
                <w:rFonts w:ascii="Times New Roman" w:hAnsi="Times New Roman"/>
                <w:sz w:val="18"/>
                <w:szCs w:val="18"/>
              </w:rPr>
            </w:pPr>
            <w:r>
              <w:rPr>
                <w:rFonts w:ascii="Arial" w:eastAsia="宋体" w:hAnsi="Arial" w:cs="Arial"/>
                <w:color w:val="0071C5"/>
                <w:sz w:val="18"/>
                <w:szCs w:val="18"/>
              </w:rPr>
              <w:t>up</w:t>
            </w:r>
          </w:p>
        </w:tc>
        <w:tc>
          <w:tcPr>
            <w:tcW w:w="0" w:type="auto"/>
            <w:shd w:val="clear" w:color="auto" w:fill="auto"/>
            <w:tcMar>
              <w:top w:w="40" w:type="dxa"/>
              <w:left w:w="40" w:type="dxa"/>
              <w:bottom w:w="40" w:type="dxa"/>
              <w:right w:w="40" w:type="dxa"/>
            </w:tcMar>
            <w:vAlign w:val="center"/>
          </w:tcPr>
          <w:p w14:paraId="3750EF01" w14:textId="77777777" w:rsidR="002541AD" w:rsidRDefault="00901AA6">
            <w:pPr>
              <w:textAlignment w:val="center"/>
              <w:rPr>
                <w:rFonts w:ascii="Times New Roman" w:hAnsi="Times New Roman"/>
                <w:sz w:val="18"/>
                <w:szCs w:val="18"/>
              </w:rPr>
            </w:pPr>
            <w:r>
              <w:rPr>
                <w:rFonts w:ascii="Arial" w:eastAsia="宋体" w:hAnsi="Arial" w:cs="Arial"/>
                <w:color w:val="0071C5"/>
                <w:sz w:val="18"/>
                <w:szCs w:val="18"/>
              </w:rPr>
              <w:t>35%</w:t>
            </w:r>
          </w:p>
        </w:tc>
        <w:tc>
          <w:tcPr>
            <w:tcW w:w="0" w:type="auto"/>
            <w:shd w:val="clear" w:color="auto" w:fill="auto"/>
            <w:tcMar>
              <w:top w:w="40" w:type="dxa"/>
              <w:left w:w="40" w:type="dxa"/>
              <w:bottom w:w="40" w:type="dxa"/>
              <w:right w:w="40" w:type="dxa"/>
            </w:tcMar>
            <w:vAlign w:val="bottom"/>
          </w:tcPr>
          <w:p w14:paraId="3750EF0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3750EF03" w14:textId="77777777" w:rsidR="002541AD" w:rsidRDefault="00901AA6">
            <w:pPr>
              <w:jc w:val="right"/>
              <w:textAlignment w:val="center"/>
              <w:rPr>
                <w:rFonts w:ascii="Times New Roman" w:hAnsi="Times New Roman"/>
                <w:sz w:val="18"/>
                <w:szCs w:val="18"/>
              </w:rPr>
            </w:pPr>
            <w:r>
              <w:rPr>
                <w:rFonts w:ascii="Arial" w:eastAsia="宋体" w:hAnsi="Arial" w:cs="Arial"/>
                <w:color w:val="0071C5"/>
                <w:sz w:val="18"/>
                <w:szCs w:val="18"/>
              </w:rPr>
              <w:t>146</w:t>
            </w:r>
          </w:p>
        </w:tc>
        <w:tc>
          <w:tcPr>
            <w:tcW w:w="0" w:type="auto"/>
            <w:shd w:val="clear" w:color="auto" w:fill="auto"/>
            <w:vAlign w:val="bottom"/>
          </w:tcPr>
          <w:p w14:paraId="3750EF04" w14:textId="77777777" w:rsidR="002541AD" w:rsidRDefault="002541AD">
            <w:pPr>
              <w:textAlignment w:val="bottom"/>
              <w:rPr>
                <w:rFonts w:ascii="Times New Roman" w:hAnsi="Times New Roman"/>
                <w:sz w:val="20"/>
                <w:szCs w:val="20"/>
              </w:rPr>
            </w:pPr>
          </w:p>
        </w:tc>
      </w:tr>
      <w:tr w:rsidR="002541AD" w14:paraId="3750EF0B" w14:textId="77777777">
        <w:tc>
          <w:tcPr>
            <w:tcW w:w="0" w:type="auto"/>
            <w:shd w:val="clear" w:color="auto" w:fill="auto"/>
            <w:tcMar>
              <w:top w:w="40" w:type="dxa"/>
              <w:left w:w="40" w:type="dxa"/>
              <w:bottom w:w="40" w:type="dxa"/>
              <w:right w:w="40" w:type="dxa"/>
            </w:tcMar>
            <w:vAlign w:val="bottom"/>
          </w:tcPr>
          <w:p w14:paraId="3750EF0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F0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F0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F0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EF0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F13" w14:textId="77777777">
        <w:tc>
          <w:tcPr>
            <w:tcW w:w="0" w:type="auto"/>
            <w:shd w:val="clear" w:color="auto" w:fill="auto"/>
            <w:tcMar>
              <w:top w:w="40" w:type="dxa"/>
              <w:left w:w="40" w:type="dxa"/>
              <w:bottom w:w="40" w:type="dxa"/>
              <w:right w:w="40" w:type="dxa"/>
            </w:tcMar>
            <w:vAlign w:val="bottom"/>
          </w:tcPr>
          <w:p w14:paraId="3750EF0C"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Total change in revenue</w:t>
            </w:r>
          </w:p>
        </w:tc>
        <w:tc>
          <w:tcPr>
            <w:tcW w:w="0" w:type="auto"/>
            <w:shd w:val="clear" w:color="auto" w:fill="auto"/>
            <w:tcMar>
              <w:top w:w="40" w:type="dxa"/>
              <w:left w:w="40" w:type="dxa"/>
              <w:bottom w:w="40" w:type="dxa"/>
              <w:right w:w="40" w:type="dxa"/>
            </w:tcMar>
            <w:vAlign w:val="bottom"/>
          </w:tcPr>
          <w:p w14:paraId="3750EF0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F0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F0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000000"/>
            </w:tcBorders>
            <w:shd w:val="clear" w:color="auto" w:fill="auto"/>
            <w:tcMar>
              <w:top w:w="40" w:type="dxa"/>
              <w:left w:w="40" w:type="dxa"/>
              <w:bottom w:w="40" w:type="dxa"/>
            </w:tcMar>
            <w:vAlign w:val="bottom"/>
          </w:tcPr>
          <w:p w14:paraId="3750EF10"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000000"/>
            </w:tcBorders>
            <w:shd w:val="clear" w:color="auto" w:fill="auto"/>
            <w:tcMar>
              <w:top w:w="40" w:type="dxa"/>
              <w:bottom w:w="40" w:type="dxa"/>
            </w:tcMar>
            <w:vAlign w:val="bottom"/>
          </w:tcPr>
          <w:p w14:paraId="3750EF11"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2,091</w:t>
            </w:r>
          </w:p>
        </w:tc>
        <w:tc>
          <w:tcPr>
            <w:tcW w:w="0" w:type="auto"/>
            <w:tcBorders>
              <w:top w:val="single" w:sz="8" w:space="0" w:color="333333"/>
              <w:bottom w:val="double" w:sz="6" w:space="0" w:color="000000"/>
            </w:tcBorders>
            <w:shd w:val="clear" w:color="auto" w:fill="auto"/>
            <w:vAlign w:val="bottom"/>
          </w:tcPr>
          <w:p w14:paraId="3750EF12" w14:textId="77777777" w:rsidR="002541AD" w:rsidRDefault="002541AD">
            <w:pPr>
              <w:textAlignment w:val="bottom"/>
              <w:rPr>
                <w:rFonts w:ascii="Times New Roman" w:hAnsi="Times New Roman"/>
                <w:sz w:val="20"/>
                <w:szCs w:val="20"/>
              </w:rPr>
            </w:pPr>
          </w:p>
        </w:tc>
      </w:tr>
    </w:tbl>
    <w:p w14:paraId="3750EF14" w14:textId="77777777" w:rsidR="002541AD" w:rsidRDefault="002541AD">
      <w:pPr>
        <w:rPr>
          <w:vanish/>
        </w:rPr>
      </w:pPr>
    </w:p>
    <w:tbl>
      <w:tblPr>
        <w:tblW w:w="5000" w:type="pct"/>
        <w:tblCellMar>
          <w:left w:w="0" w:type="dxa"/>
          <w:right w:w="0" w:type="dxa"/>
        </w:tblCellMar>
        <w:tblLook w:val="04A0" w:firstRow="1" w:lastRow="0" w:firstColumn="1" w:lastColumn="0" w:noHBand="0" w:noVBand="1"/>
      </w:tblPr>
      <w:tblGrid>
        <w:gridCol w:w="8306"/>
      </w:tblGrid>
      <w:tr w:rsidR="002541AD" w14:paraId="3750EF16" w14:textId="77777777">
        <w:tc>
          <w:tcPr>
            <w:tcW w:w="0" w:type="auto"/>
            <w:shd w:val="clear" w:color="auto" w:fill="auto"/>
            <w:vAlign w:val="center"/>
          </w:tcPr>
          <w:p w14:paraId="3750EF15" w14:textId="77777777" w:rsidR="002541AD" w:rsidRDefault="002541AD">
            <w:pPr>
              <w:rPr>
                <w:rFonts w:ascii="Times New Roman" w:hAnsi="Times New Roman"/>
                <w:sz w:val="20"/>
                <w:szCs w:val="20"/>
              </w:rPr>
            </w:pPr>
          </w:p>
        </w:tc>
      </w:tr>
      <w:tr w:rsidR="002541AD" w14:paraId="3750EF18" w14:textId="77777777">
        <w:tc>
          <w:tcPr>
            <w:tcW w:w="5000" w:type="pct"/>
            <w:shd w:val="clear" w:color="auto" w:fill="auto"/>
            <w:vAlign w:val="center"/>
          </w:tcPr>
          <w:p w14:paraId="3750EF17" w14:textId="77777777" w:rsidR="002541AD" w:rsidRDefault="002541AD">
            <w:pPr>
              <w:rPr>
                <w:rFonts w:ascii="Times New Roman" w:hAnsi="Times New Roman"/>
                <w:sz w:val="20"/>
                <w:szCs w:val="20"/>
              </w:rPr>
            </w:pPr>
          </w:p>
        </w:tc>
      </w:tr>
      <w:tr w:rsidR="002541AD" w14:paraId="3750EF1A"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3750EF19" w14:textId="77777777" w:rsidR="002541AD" w:rsidRDefault="00901AA6">
            <w:pPr>
              <w:textAlignment w:val="bottom"/>
              <w:rPr>
                <w:rFonts w:ascii="Times New Roman" w:hAnsi="Times New Roman"/>
                <w:sz w:val="20"/>
                <w:szCs w:val="20"/>
              </w:rPr>
            </w:pPr>
            <w:r>
              <w:rPr>
                <w:rFonts w:ascii="Arial" w:eastAsia="宋体" w:hAnsi="Arial" w:cs="Arial"/>
                <w:b/>
                <w:bCs/>
                <w:color w:val="0071C5"/>
                <w:sz w:val="20"/>
                <w:szCs w:val="20"/>
              </w:rPr>
              <w:t>OPERATING INCOME SUMMARY</w:t>
            </w:r>
          </w:p>
        </w:tc>
      </w:tr>
    </w:tbl>
    <w:p w14:paraId="3750EF1B"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Operating income in Q1 2020 increased 90% from Q1 2019, with an operating margin of 50%. </w:t>
      </w:r>
    </w:p>
    <w:tbl>
      <w:tblPr>
        <w:tblW w:w="5000" w:type="pct"/>
        <w:tblCellMar>
          <w:left w:w="0" w:type="dxa"/>
          <w:right w:w="0" w:type="dxa"/>
        </w:tblCellMar>
        <w:tblLook w:val="04A0" w:firstRow="1" w:lastRow="0" w:firstColumn="1" w:lastColumn="0" w:noHBand="0" w:noVBand="1"/>
      </w:tblPr>
      <w:tblGrid>
        <w:gridCol w:w="142"/>
        <w:gridCol w:w="769"/>
        <w:gridCol w:w="100"/>
        <w:gridCol w:w="130"/>
        <w:gridCol w:w="7165"/>
      </w:tblGrid>
      <w:tr w:rsidR="002541AD" w14:paraId="3750EF1D" w14:textId="77777777">
        <w:tc>
          <w:tcPr>
            <w:tcW w:w="0" w:type="auto"/>
            <w:gridSpan w:val="5"/>
            <w:shd w:val="clear" w:color="auto" w:fill="auto"/>
            <w:vAlign w:val="center"/>
          </w:tcPr>
          <w:p w14:paraId="3750EF1C" w14:textId="77777777" w:rsidR="002541AD" w:rsidRDefault="002541AD">
            <w:pPr>
              <w:rPr>
                <w:rFonts w:ascii="Times New Roman" w:hAnsi="Times New Roman"/>
                <w:sz w:val="20"/>
                <w:szCs w:val="20"/>
              </w:rPr>
            </w:pPr>
          </w:p>
        </w:tc>
      </w:tr>
      <w:tr w:rsidR="002541AD" w14:paraId="3750EF23" w14:textId="77777777">
        <w:tc>
          <w:tcPr>
            <w:tcW w:w="50" w:type="pct"/>
            <w:shd w:val="clear" w:color="auto" w:fill="auto"/>
            <w:vAlign w:val="center"/>
          </w:tcPr>
          <w:p w14:paraId="3750EF1E" w14:textId="77777777" w:rsidR="002541AD" w:rsidRDefault="002541AD">
            <w:pPr>
              <w:rPr>
                <w:rFonts w:ascii="Times New Roman" w:hAnsi="Times New Roman"/>
                <w:sz w:val="20"/>
                <w:szCs w:val="20"/>
              </w:rPr>
            </w:pPr>
          </w:p>
        </w:tc>
        <w:tc>
          <w:tcPr>
            <w:tcW w:w="500" w:type="pct"/>
            <w:shd w:val="clear" w:color="auto" w:fill="auto"/>
            <w:vAlign w:val="center"/>
          </w:tcPr>
          <w:p w14:paraId="3750EF1F" w14:textId="77777777" w:rsidR="002541AD" w:rsidRDefault="002541AD">
            <w:pPr>
              <w:rPr>
                <w:rFonts w:ascii="Times New Roman" w:hAnsi="Times New Roman"/>
                <w:sz w:val="20"/>
                <w:szCs w:val="20"/>
              </w:rPr>
            </w:pPr>
          </w:p>
        </w:tc>
        <w:tc>
          <w:tcPr>
            <w:tcW w:w="50" w:type="pct"/>
            <w:shd w:val="clear" w:color="auto" w:fill="auto"/>
            <w:vAlign w:val="center"/>
          </w:tcPr>
          <w:p w14:paraId="3750EF20" w14:textId="77777777" w:rsidR="002541AD" w:rsidRDefault="002541AD">
            <w:pPr>
              <w:rPr>
                <w:rFonts w:ascii="Times New Roman" w:hAnsi="Times New Roman"/>
                <w:sz w:val="20"/>
                <w:szCs w:val="20"/>
              </w:rPr>
            </w:pPr>
          </w:p>
        </w:tc>
        <w:tc>
          <w:tcPr>
            <w:tcW w:w="50" w:type="pct"/>
            <w:shd w:val="clear" w:color="auto" w:fill="auto"/>
            <w:vAlign w:val="center"/>
          </w:tcPr>
          <w:p w14:paraId="3750EF21" w14:textId="77777777" w:rsidR="002541AD" w:rsidRDefault="002541AD">
            <w:pPr>
              <w:rPr>
                <w:rFonts w:ascii="Times New Roman" w:hAnsi="Times New Roman"/>
                <w:sz w:val="20"/>
                <w:szCs w:val="20"/>
              </w:rPr>
            </w:pPr>
          </w:p>
        </w:tc>
        <w:tc>
          <w:tcPr>
            <w:tcW w:w="4350" w:type="pct"/>
            <w:shd w:val="clear" w:color="auto" w:fill="auto"/>
            <w:vAlign w:val="center"/>
          </w:tcPr>
          <w:p w14:paraId="3750EF22" w14:textId="77777777" w:rsidR="002541AD" w:rsidRDefault="002541AD">
            <w:pPr>
              <w:rPr>
                <w:rFonts w:ascii="Times New Roman" w:hAnsi="Times New Roman"/>
                <w:sz w:val="20"/>
                <w:szCs w:val="20"/>
              </w:rPr>
            </w:pPr>
          </w:p>
        </w:tc>
      </w:tr>
      <w:tr w:rsidR="002541AD" w14:paraId="3750EF27" w14:textId="77777777">
        <w:tc>
          <w:tcPr>
            <w:tcW w:w="0" w:type="auto"/>
            <w:gridSpan w:val="3"/>
            <w:shd w:val="clear" w:color="auto" w:fill="auto"/>
            <w:tcMar>
              <w:top w:w="40" w:type="dxa"/>
              <w:left w:w="40" w:type="dxa"/>
              <w:bottom w:w="40" w:type="dxa"/>
              <w:right w:w="40" w:type="dxa"/>
            </w:tcMar>
            <w:vAlign w:val="bottom"/>
          </w:tcPr>
          <w:p w14:paraId="3750EF24"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EF2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F2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EF2D" w14:textId="77777777">
        <w:tc>
          <w:tcPr>
            <w:tcW w:w="0" w:type="auto"/>
            <w:tcBorders>
              <w:top w:val="single" w:sz="8" w:space="0" w:color="0071C5"/>
              <w:bottom w:val="single" w:sz="8" w:space="0" w:color="333333"/>
            </w:tcBorders>
            <w:shd w:val="clear" w:color="auto" w:fill="auto"/>
            <w:tcMar>
              <w:top w:w="40" w:type="dxa"/>
              <w:left w:w="40" w:type="dxa"/>
              <w:bottom w:w="40" w:type="dxa"/>
            </w:tcMar>
            <w:vAlign w:val="bottom"/>
          </w:tcPr>
          <w:p w14:paraId="3750EF28"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0071C5"/>
              <w:bottom w:val="single" w:sz="8" w:space="0" w:color="333333"/>
            </w:tcBorders>
            <w:shd w:val="clear" w:color="auto" w:fill="auto"/>
            <w:tcMar>
              <w:top w:w="40" w:type="dxa"/>
              <w:bottom w:w="40" w:type="dxa"/>
            </w:tcMar>
            <w:vAlign w:val="bottom"/>
          </w:tcPr>
          <w:p w14:paraId="3750EF29"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3,492</w:t>
            </w:r>
          </w:p>
        </w:tc>
        <w:tc>
          <w:tcPr>
            <w:tcW w:w="0" w:type="auto"/>
            <w:tcBorders>
              <w:top w:val="single" w:sz="8" w:space="0" w:color="0071C5"/>
              <w:bottom w:val="single" w:sz="8" w:space="0" w:color="333333"/>
            </w:tcBorders>
            <w:shd w:val="clear" w:color="auto" w:fill="auto"/>
            <w:vAlign w:val="bottom"/>
          </w:tcPr>
          <w:p w14:paraId="3750EF2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F2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bottom w:val="single" w:sz="8" w:space="0" w:color="333333"/>
            </w:tcBorders>
            <w:shd w:val="clear" w:color="auto" w:fill="auto"/>
            <w:tcMar>
              <w:top w:w="40" w:type="dxa"/>
              <w:left w:w="40" w:type="dxa"/>
              <w:bottom w:w="40" w:type="dxa"/>
              <w:right w:w="40" w:type="dxa"/>
            </w:tcMar>
            <w:vAlign w:val="bottom"/>
          </w:tcPr>
          <w:p w14:paraId="3750EF2C"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Q1 2020 DCG Operating Income</w:t>
            </w:r>
          </w:p>
        </w:tc>
      </w:tr>
      <w:tr w:rsidR="002541AD" w14:paraId="3750EF32" w14:textId="77777777">
        <w:tc>
          <w:tcPr>
            <w:tcW w:w="0" w:type="auto"/>
            <w:gridSpan w:val="2"/>
            <w:tcBorders>
              <w:top w:val="single" w:sz="8" w:space="0" w:color="333333"/>
            </w:tcBorders>
            <w:shd w:val="clear" w:color="auto" w:fill="auto"/>
            <w:tcMar>
              <w:top w:w="40" w:type="dxa"/>
              <w:left w:w="40" w:type="dxa"/>
              <w:bottom w:w="40" w:type="dxa"/>
            </w:tcMar>
          </w:tcPr>
          <w:p w14:paraId="3750EF2E" w14:textId="77777777" w:rsidR="002541AD" w:rsidRDefault="00901AA6">
            <w:pPr>
              <w:jc w:val="right"/>
              <w:textAlignment w:val="top"/>
              <w:rPr>
                <w:rFonts w:ascii="Times New Roman" w:hAnsi="Times New Roman"/>
                <w:sz w:val="18"/>
                <w:szCs w:val="18"/>
              </w:rPr>
            </w:pPr>
            <w:r>
              <w:rPr>
                <w:rFonts w:ascii="Arial" w:eastAsia="宋体" w:hAnsi="Arial" w:cs="Arial"/>
                <w:color w:val="0071C5"/>
                <w:sz w:val="18"/>
                <w:szCs w:val="18"/>
              </w:rPr>
              <w:t>1,785</w:t>
            </w:r>
          </w:p>
        </w:tc>
        <w:tc>
          <w:tcPr>
            <w:tcW w:w="0" w:type="auto"/>
            <w:tcBorders>
              <w:top w:val="single" w:sz="8" w:space="0" w:color="333333"/>
            </w:tcBorders>
            <w:shd w:val="clear" w:color="auto" w:fill="auto"/>
            <w:vAlign w:val="bottom"/>
          </w:tcPr>
          <w:p w14:paraId="3750EF2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F3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tcBorders>
            <w:shd w:val="clear" w:color="auto" w:fill="auto"/>
            <w:tcMar>
              <w:top w:w="40" w:type="dxa"/>
              <w:left w:w="40" w:type="dxa"/>
              <w:bottom w:w="40" w:type="dxa"/>
              <w:right w:w="40" w:type="dxa"/>
            </w:tcMar>
          </w:tcPr>
          <w:p w14:paraId="3750EF31" w14:textId="77777777" w:rsidR="002541AD" w:rsidRDefault="00901AA6">
            <w:pPr>
              <w:textAlignment w:val="top"/>
              <w:rPr>
                <w:rFonts w:ascii="Times New Roman" w:hAnsi="Times New Roman"/>
                <w:sz w:val="18"/>
                <w:szCs w:val="18"/>
              </w:rPr>
            </w:pPr>
            <w:r>
              <w:rPr>
                <w:rFonts w:ascii="Arial" w:eastAsia="宋体" w:hAnsi="Arial" w:cs="Arial"/>
                <w:color w:val="0071C5"/>
                <w:sz w:val="18"/>
                <w:szCs w:val="18"/>
              </w:rPr>
              <w:t>Higher gross margin from platform revenue</w:t>
            </w:r>
          </w:p>
        </w:tc>
      </w:tr>
      <w:tr w:rsidR="002541AD" w14:paraId="3750EF37" w14:textId="77777777">
        <w:tc>
          <w:tcPr>
            <w:tcW w:w="0" w:type="auto"/>
            <w:gridSpan w:val="2"/>
            <w:shd w:val="clear" w:color="auto" w:fill="auto"/>
            <w:tcMar>
              <w:top w:w="40" w:type="dxa"/>
              <w:left w:w="40" w:type="dxa"/>
              <w:bottom w:w="40" w:type="dxa"/>
            </w:tcMar>
          </w:tcPr>
          <w:p w14:paraId="3750EF33" w14:textId="77777777" w:rsidR="002541AD" w:rsidRDefault="00901AA6">
            <w:pPr>
              <w:jc w:val="right"/>
              <w:textAlignment w:val="top"/>
              <w:rPr>
                <w:rFonts w:ascii="Times New Roman" w:hAnsi="Times New Roman"/>
                <w:sz w:val="18"/>
                <w:szCs w:val="18"/>
              </w:rPr>
            </w:pPr>
            <w:r>
              <w:rPr>
                <w:rFonts w:ascii="Arial" w:eastAsia="宋体" w:hAnsi="Arial" w:cs="Arial"/>
                <w:color w:val="0071C5"/>
                <w:sz w:val="18"/>
                <w:szCs w:val="18"/>
              </w:rPr>
              <w:t>(80</w:t>
            </w:r>
          </w:p>
        </w:tc>
        <w:tc>
          <w:tcPr>
            <w:tcW w:w="0" w:type="auto"/>
            <w:shd w:val="clear" w:color="auto" w:fill="auto"/>
            <w:tcMar>
              <w:top w:w="40" w:type="dxa"/>
              <w:bottom w:w="40" w:type="dxa"/>
              <w:right w:w="40" w:type="dxa"/>
            </w:tcMar>
          </w:tcPr>
          <w:p w14:paraId="3750EF34" w14:textId="77777777" w:rsidR="002541AD" w:rsidRDefault="00901AA6">
            <w:pPr>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F3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F36" w14:textId="77777777" w:rsidR="002541AD" w:rsidRDefault="00901AA6">
            <w:pPr>
              <w:textAlignment w:val="top"/>
              <w:rPr>
                <w:rFonts w:ascii="Times New Roman" w:hAnsi="Times New Roman"/>
                <w:sz w:val="18"/>
                <w:szCs w:val="18"/>
              </w:rPr>
            </w:pPr>
            <w:r>
              <w:rPr>
                <w:rFonts w:ascii="Arial" w:eastAsia="宋体" w:hAnsi="Arial" w:cs="Arial"/>
                <w:color w:val="0071C5"/>
                <w:sz w:val="18"/>
                <w:szCs w:val="18"/>
              </w:rPr>
              <w:t>Higher operating expenses</w:t>
            </w:r>
          </w:p>
        </w:tc>
      </w:tr>
      <w:tr w:rsidR="002541AD" w14:paraId="3750EF3C" w14:textId="77777777">
        <w:tc>
          <w:tcPr>
            <w:tcW w:w="0" w:type="auto"/>
            <w:gridSpan w:val="2"/>
            <w:shd w:val="clear" w:color="auto" w:fill="auto"/>
            <w:tcMar>
              <w:top w:w="40" w:type="dxa"/>
              <w:left w:w="40" w:type="dxa"/>
              <w:bottom w:w="40" w:type="dxa"/>
            </w:tcMar>
          </w:tcPr>
          <w:p w14:paraId="3750EF38" w14:textId="77777777" w:rsidR="002541AD" w:rsidRDefault="00901AA6">
            <w:pPr>
              <w:jc w:val="right"/>
              <w:textAlignment w:val="top"/>
              <w:rPr>
                <w:rFonts w:ascii="Times New Roman" w:hAnsi="Times New Roman"/>
                <w:sz w:val="18"/>
                <w:szCs w:val="18"/>
              </w:rPr>
            </w:pPr>
            <w:r>
              <w:rPr>
                <w:rFonts w:ascii="Arial" w:eastAsia="宋体" w:hAnsi="Arial" w:cs="Arial"/>
                <w:color w:val="0071C5"/>
                <w:sz w:val="18"/>
                <w:szCs w:val="18"/>
              </w:rPr>
              <w:t>(54</w:t>
            </w:r>
          </w:p>
        </w:tc>
        <w:tc>
          <w:tcPr>
            <w:tcW w:w="0" w:type="auto"/>
            <w:shd w:val="clear" w:color="auto" w:fill="auto"/>
            <w:tcMar>
              <w:top w:w="40" w:type="dxa"/>
              <w:bottom w:w="40" w:type="dxa"/>
              <w:right w:w="40" w:type="dxa"/>
            </w:tcMar>
          </w:tcPr>
          <w:p w14:paraId="3750EF39" w14:textId="77777777" w:rsidR="002541AD" w:rsidRDefault="00901AA6">
            <w:pPr>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EF3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EF3B" w14:textId="77777777" w:rsidR="002541AD" w:rsidRDefault="00901AA6">
            <w:pPr>
              <w:textAlignment w:val="top"/>
              <w:rPr>
                <w:rFonts w:ascii="Times New Roman" w:hAnsi="Times New Roman"/>
                <w:sz w:val="18"/>
                <w:szCs w:val="18"/>
              </w:rPr>
            </w:pPr>
            <w:r>
              <w:rPr>
                <w:rFonts w:ascii="Arial" w:eastAsia="宋体" w:hAnsi="Arial" w:cs="Arial"/>
                <w:color w:val="0071C5"/>
                <w:sz w:val="18"/>
                <w:szCs w:val="18"/>
              </w:rPr>
              <w:t>Other</w:t>
            </w:r>
          </w:p>
        </w:tc>
      </w:tr>
      <w:tr w:rsidR="002541AD" w14:paraId="3750EF42" w14:textId="77777777">
        <w:tc>
          <w:tcPr>
            <w:tcW w:w="0" w:type="auto"/>
            <w:tcBorders>
              <w:top w:val="single" w:sz="8" w:space="0" w:color="333333"/>
              <w:bottom w:val="single" w:sz="8" w:space="0" w:color="333333"/>
            </w:tcBorders>
            <w:shd w:val="clear" w:color="auto" w:fill="auto"/>
            <w:tcMar>
              <w:top w:w="40" w:type="dxa"/>
              <w:left w:w="40" w:type="dxa"/>
              <w:bottom w:w="40" w:type="dxa"/>
            </w:tcMar>
            <w:vAlign w:val="bottom"/>
          </w:tcPr>
          <w:p w14:paraId="3750EF3D"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single" w:sz="8" w:space="0" w:color="333333"/>
            </w:tcBorders>
            <w:shd w:val="clear" w:color="auto" w:fill="auto"/>
            <w:tcMar>
              <w:top w:w="40" w:type="dxa"/>
              <w:bottom w:w="40" w:type="dxa"/>
            </w:tcMar>
            <w:vAlign w:val="bottom"/>
          </w:tcPr>
          <w:p w14:paraId="3750EF3E"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1,841</w:t>
            </w:r>
          </w:p>
        </w:tc>
        <w:tc>
          <w:tcPr>
            <w:tcW w:w="0" w:type="auto"/>
            <w:tcBorders>
              <w:top w:val="single" w:sz="8" w:space="0" w:color="333333"/>
              <w:bottom w:val="single" w:sz="8" w:space="0" w:color="333333"/>
            </w:tcBorders>
            <w:shd w:val="clear" w:color="auto" w:fill="auto"/>
            <w:vAlign w:val="bottom"/>
          </w:tcPr>
          <w:p w14:paraId="3750EF3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EF4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single" w:sz="8" w:space="0" w:color="333333"/>
            </w:tcBorders>
            <w:shd w:val="clear" w:color="auto" w:fill="auto"/>
            <w:tcMar>
              <w:top w:w="40" w:type="dxa"/>
              <w:left w:w="40" w:type="dxa"/>
              <w:bottom w:w="40" w:type="dxa"/>
              <w:right w:w="40" w:type="dxa"/>
            </w:tcMar>
            <w:vAlign w:val="bottom"/>
          </w:tcPr>
          <w:p w14:paraId="3750EF41"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Q1 2019 DCG Operating Income</w:t>
            </w:r>
          </w:p>
        </w:tc>
      </w:tr>
    </w:tbl>
    <w:p w14:paraId="3750EF43"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EF45" w14:textId="77777777">
        <w:tc>
          <w:tcPr>
            <w:tcW w:w="0" w:type="auto"/>
            <w:gridSpan w:val="3"/>
            <w:shd w:val="clear" w:color="auto" w:fill="auto"/>
            <w:vAlign w:val="center"/>
          </w:tcPr>
          <w:p w14:paraId="3750EF44" w14:textId="77777777" w:rsidR="002541AD" w:rsidRDefault="002541AD">
            <w:pPr>
              <w:rPr>
                <w:rFonts w:ascii="Times New Roman" w:hAnsi="Times New Roman"/>
                <w:sz w:val="20"/>
                <w:szCs w:val="20"/>
              </w:rPr>
            </w:pPr>
          </w:p>
        </w:tc>
      </w:tr>
      <w:tr w:rsidR="002541AD" w14:paraId="3750EF49" w14:textId="77777777">
        <w:tc>
          <w:tcPr>
            <w:tcW w:w="1550" w:type="pct"/>
            <w:shd w:val="clear" w:color="auto" w:fill="auto"/>
            <w:vAlign w:val="center"/>
          </w:tcPr>
          <w:p w14:paraId="3750EF46" w14:textId="77777777" w:rsidR="002541AD" w:rsidRDefault="002541AD">
            <w:pPr>
              <w:rPr>
                <w:rFonts w:ascii="Times New Roman" w:hAnsi="Times New Roman"/>
                <w:sz w:val="20"/>
                <w:szCs w:val="20"/>
              </w:rPr>
            </w:pPr>
          </w:p>
        </w:tc>
        <w:tc>
          <w:tcPr>
            <w:tcW w:w="2200" w:type="pct"/>
            <w:shd w:val="clear" w:color="auto" w:fill="auto"/>
            <w:vAlign w:val="center"/>
          </w:tcPr>
          <w:p w14:paraId="3750EF47" w14:textId="77777777" w:rsidR="002541AD" w:rsidRDefault="002541AD">
            <w:pPr>
              <w:rPr>
                <w:rFonts w:ascii="Times New Roman" w:hAnsi="Times New Roman"/>
                <w:sz w:val="20"/>
                <w:szCs w:val="20"/>
              </w:rPr>
            </w:pPr>
          </w:p>
        </w:tc>
        <w:tc>
          <w:tcPr>
            <w:tcW w:w="1250" w:type="pct"/>
            <w:shd w:val="clear" w:color="auto" w:fill="auto"/>
            <w:vAlign w:val="center"/>
          </w:tcPr>
          <w:p w14:paraId="3750EF48" w14:textId="77777777" w:rsidR="002541AD" w:rsidRDefault="002541AD">
            <w:pPr>
              <w:rPr>
                <w:rFonts w:ascii="Times New Roman" w:hAnsi="Times New Roman"/>
                <w:sz w:val="20"/>
                <w:szCs w:val="20"/>
              </w:rPr>
            </w:pPr>
          </w:p>
        </w:tc>
      </w:tr>
      <w:tr w:rsidR="002541AD" w14:paraId="3750EF4D"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EF4A"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93" wp14:editId="3750F894">
                  <wp:extent cx="304800" cy="304800"/>
                  <wp:effectExtent l="0" t="0" r="0" b="0"/>
                  <wp:docPr id="8" name="图片 95"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5"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F4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F4C"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27</w:t>
            </w:r>
          </w:p>
        </w:tc>
      </w:tr>
    </w:tbl>
    <w:p w14:paraId="3750EF4E" w14:textId="77777777" w:rsidR="002541AD" w:rsidRDefault="002541AD">
      <w:pPr>
        <w:spacing w:line="288" w:lineRule="auto"/>
        <w:rPr>
          <w:rFonts w:ascii="Times New Roman" w:hAnsi="Times New Roman"/>
          <w:sz w:val="18"/>
          <w:szCs w:val="18"/>
        </w:rPr>
      </w:pPr>
    </w:p>
    <w:p w14:paraId="3750EF4F" w14:textId="77777777" w:rsidR="002541AD" w:rsidRDefault="00901AA6">
      <w:r>
        <w:rPr>
          <w:rFonts w:ascii="Times New Roman" w:hAnsi="Times New Roman"/>
          <w:sz w:val="18"/>
          <w:szCs w:val="18"/>
        </w:rPr>
        <w:pict w14:anchorId="3750F895">
          <v:rect id="_x0000_i1053" style="width:415.3pt;height:1.5pt" o:hralign="center" o:hrstd="t" o:hr="t" fillcolor="#a0a0a0" stroked="f"/>
        </w:pict>
      </w:r>
    </w:p>
    <w:p w14:paraId="3750EF50" w14:textId="77777777" w:rsidR="002541AD" w:rsidRDefault="00901AA6">
      <w:pPr>
        <w:spacing w:line="288" w:lineRule="auto"/>
        <w:jc w:val="right"/>
        <w:rPr>
          <w:rFonts w:ascii="Times New Roman" w:hAnsi="Times New Roman"/>
          <w:sz w:val="16"/>
          <w:szCs w:val="16"/>
        </w:rPr>
      </w:pPr>
      <w:hyperlink r:id="rId56" w:anchor="s2CABEAF4222C52B4A34547BF538A8C27" w:history="1">
        <w:r>
          <w:rPr>
            <w:rStyle w:val="a5"/>
            <w:rFonts w:ascii="Arial" w:eastAsia="宋体" w:hAnsi="Arial" w:cs="Arial"/>
            <w:b/>
            <w:bCs/>
            <w:sz w:val="16"/>
            <w:szCs w:val="16"/>
          </w:rPr>
          <w:t>Table of Contents</w:t>
        </w:r>
      </w:hyperlink>
    </w:p>
    <w:p w14:paraId="3750EF51" w14:textId="77777777" w:rsidR="002541AD" w:rsidRDefault="002541AD">
      <w:pPr>
        <w:spacing w:line="288" w:lineRule="auto"/>
        <w:jc w:val="right"/>
        <w:rPr>
          <w:rFonts w:ascii="Times New Roman" w:hAnsi="Times New Roman"/>
          <w:sz w:val="18"/>
          <w:szCs w:val="18"/>
        </w:rPr>
      </w:pPr>
    </w:p>
    <w:p w14:paraId="3750EF52" w14:textId="77777777" w:rsidR="002541AD" w:rsidRDefault="002541AD">
      <w:pPr>
        <w:rPr>
          <w:rFonts w:ascii="Times New Roman" w:hAnsi="Times New Roman"/>
          <w:sz w:val="20"/>
          <w:szCs w:val="20"/>
        </w:rPr>
      </w:pPr>
    </w:p>
    <w:p w14:paraId="3750EF53"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 xml:space="preserve">INTERNET OF THINGS </w:t>
      </w:r>
    </w:p>
    <w:p w14:paraId="3750EF54"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As more intelligence is moving to the edge, more </w:t>
      </w:r>
      <w:r>
        <w:rPr>
          <w:rFonts w:ascii="Arial" w:eastAsia="宋体" w:hAnsi="Arial" w:cs="Arial"/>
          <w:color w:val="333333"/>
          <w:sz w:val="18"/>
          <w:szCs w:val="18"/>
        </w:rPr>
        <w:t>industries are harnessing the power of data to create business value, to innovate, and to grow. We are using our architecture, accelerators, and software assets, combined with scale and partners, to develop a growing Internet of Things portfolio. Our Inter</w:t>
      </w:r>
      <w:r>
        <w:rPr>
          <w:rFonts w:ascii="Arial" w:eastAsia="宋体" w:hAnsi="Arial" w:cs="Arial"/>
          <w:color w:val="333333"/>
          <w:sz w:val="18"/>
          <w:szCs w:val="18"/>
        </w:rPr>
        <w:t>net of Things portfolio is comprised of our IOTG and Mobileye businesses.</w:t>
      </w:r>
    </w:p>
    <w:p w14:paraId="3750EF55"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IOTG develops high-performance compute for targeted verticals and embedded markets. Our customers include retailers, manufacturers, health care providers, energy companies, automaker</w:t>
      </w:r>
      <w:r>
        <w:rPr>
          <w:rFonts w:ascii="Arial" w:eastAsia="宋体" w:hAnsi="Arial" w:cs="Arial"/>
          <w:color w:val="333333"/>
          <w:sz w:val="18"/>
          <w:szCs w:val="18"/>
        </w:rPr>
        <w:t xml:space="preserve">s, and governments. We facilitate our customers creating, storing, and processing data generated by connected devices to accelerate business transformations. </w:t>
      </w:r>
    </w:p>
    <w:p w14:paraId="3750EF56"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Mobileye is the global leader in driving assistance and automation solutions. Our product portfol</w:t>
      </w:r>
      <w:r>
        <w:rPr>
          <w:rFonts w:ascii="Arial" w:eastAsia="宋体" w:hAnsi="Arial" w:cs="Arial"/>
          <w:color w:val="333333"/>
          <w:sz w:val="18"/>
          <w:szCs w:val="18"/>
        </w:rPr>
        <w:t xml:space="preserve">io employs a broad set of technologies, covering computer vision and machine learning-based sensing, data analysis, localization, mapping, and driving policy technology for ADAS and autonomous driving. Mobileye’s ADAS products form the building blocks for </w:t>
      </w:r>
      <w:r>
        <w:rPr>
          <w:rFonts w:ascii="Arial" w:eastAsia="宋体" w:hAnsi="Arial" w:cs="Arial"/>
          <w:color w:val="333333"/>
          <w:sz w:val="18"/>
          <w:szCs w:val="18"/>
        </w:rPr>
        <w:t>higher levels of autonomy. Our customers and strategic partners include major global OEMs and Tier 1 automotive system integrators.</w:t>
      </w:r>
    </w:p>
    <w:tbl>
      <w:tblPr>
        <w:tblW w:w="14200" w:type="dxa"/>
        <w:tblCellMar>
          <w:left w:w="0" w:type="dxa"/>
          <w:right w:w="0" w:type="dxa"/>
        </w:tblCellMar>
        <w:tblLook w:val="04A0" w:firstRow="1" w:lastRow="0" w:firstColumn="1" w:lastColumn="0" w:noHBand="0" w:noVBand="1"/>
      </w:tblPr>
      <w:tblGrid>
        <w:gridCol w:w="521"/>
        <w:gridCol w:w="6097"/>
        <w:gridCol w:w="963"/>
        <w:gridCol w:w="6619"/>
      </w:tblGrid>
      <w:tr w:rsidR="002541AD" w14:paraId="3750EF58" w14:textId="77777777">
        <w:tc>
          <w:tcPr>
            <w:tcW w:w="0" w:type="auto"/>
            <w:gridSpan w:val="4"/>
            <w:shd w:val="clear" w:color="auto" w:fill="auto"/>
            <w:vAlign w:val="center"/>
          </w:tcPr>
          <w:p w14:paraId="3750EF57" w14:textId="77777777" w:rsidR="002541AD" w:rsidRDefault="002541AD">
            <w:pPr>
              <w:rPr>
                <w:rFonts w:ascii="Times New Roman" w:hAnsi="Times New Roman"/>
                <w:sz w:val="20"/>
                <w:szCs w:val="20"/>
              </w:rPr>
            </w:pPr>
          </w:p>
        </w:tc>
      </w:tr>
      <w:tr w:rsidR="002541AD" w14:paraId="3750EF5D" w14:textId="77777777">
        <w:tc>
          <w:tcPr>
            <w:tcW w:w="520" w:type="dxa"/>
            <w:shd w:val="clear" w:color="auto" w:fill="auto"/>
            <w:vAlign w:val="center"/>
          </w:tcPr>
          <w:p w14:paraId="3750EF59" w14:textId="77777777" w:rsidR="002541AD" w:rsidRDefault="002541AD">
            <w:pPr>
              <w:rPr>
                <w:rFonts w:ascii="Times New Roman" w:hAnsi="Times New Roman"/>
                <w:sz w:val="20"/>
                <w:szCs w:val="20"/>
              </w:rPr>
            </w:pPr>
          </w:p>
        </w:tc>
        <w:tc>
          <w:tcPr>
            <w:tcW w:w="6080" w:type="dxa"/>
            <w:shd w:val="clear" w:color="auto" w:fill="auto"/>
            <w:vAlign w:val="center"/>
          </w:tcPr>
          <w:p w14:paraId="3750EF5A" w14:textId="77777777" w:rsidR="002541AD" w:rsidRDefault="002541AD">
            <w:pPr>
              <w:rPr>
                <w:rFonts w:ascii="Times New Roman" w:hAnsi="Times New Roman"/>
                <w:sz w:val="20"/>
                <w:szCs w:val="20"/>
              </w:rPr>
            </w:pPr>
          </w:p>
        </w:tc>
        <w:tc>
          <w:tcPr>
            <w:tcW w:w="960" w:type="dxa"/>
            <w:shd w:val="clear" w:color="auto" w:fill="auto"/>
            <w:vAlign w:val="center"/>
          </w:tcPr>
          <w:p w14:paraId="3750EF5B" w14:textId="77777777" w:rsidR="002541AD" w:rsidRDefault="002541AD">
            <w:pPr>
              <w:rPr>
                <w:rFonts w:ascii="Times New Roman" w:hAnsi="Times New Roman"/>
                <w:sz w:val="20"/>
                <w:szCs w:val="20"/>
              </w:rPr>
            </w:pPr>
          </w:p>
        </w:tc>
        <w:tc>
          <w:tcPr>
            <w:tcW w:w="6600" w:type="dxa"/>
            <w:shd w:val="clear" w:color="auto" w:fill="auto"/>
            <w:vAlign w:val="center"/>
          </w:tcPr>
          <w:p w14:paraId="3750EF5C" w14:textId="77777777" w:rsidR="002541AD" w:rsidRDefault="002541AD">
            <w:pPr>
              <w:rPr>
                <w:rFonts w:ascii="Times New Roman" w:hAnsi="Times New Roman"/>
                <w:sz w:val="20"/>
                <w:szCs w:val="20"/>
              </w:rPr>
            </w:pPr>
          </w:p>
        </w:tc>
      </w:tr>
      <w:tr w:rsidR="002541AD" w14:paraId="3750EF62" w14:textId="77777777">
        <w:tc>
          <w:tcPr>
            <w:tcW w:w="0" w:type="auto"/>
            <w:shd w:val="clear" w:color="auto" w:fill="auto"/>
            <w:tcMar>
              <w:top w:w="40" w:type="dxa"/>
              <w:left w:w="40" w:type="dxa"/>
              <w:bottom w:w="40" w:type="dxa"/>
              <w:right w:w="40" w:type="dxa"/>
            </w:tcMar>
            <w:vAlign w:val="bottom"/>
          </w:tcPr>
          <w:p w14:paraId="3750EF5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tcPr>
          <w:p w14:paraId="3750EF5F" w14:textId="77777777" w:rsidR="002541AD" w:rsidRDefault="00901AA6">
            <w:pPr>
              <w:jc w:val="center"/>
              <w:textAlignment w:val="top"/>
              <w:rPr>
                <w:rFonts w:ascii="Times New Roman" w:hAnsi="Times New Roman"/>
                <w:sz w:val="20"/>
                <w:szCs w:val="20"/>
              </w:rPr>
            </w:pPr>
            <w:r>
              <w:rPr>
                <w:rFonts w:ascii="Arial" w:eastAsia="宋体" w:hAnsi="Arial" w:cs="Arial"/>
                <w:b/>
                <w:bCs/>
                <w:color w:val="0071C5"/>
                <w:sz w:val="20"/>
                <w:szCs w:val="20"/>
              </w:rPr>
              <w:t>INTERNET OF THINGS REVENUE $B</w:t>
            </w:r>
          </w:p>
        </w:tc>
        <w:tc>
          <w:tcPr>
            <w:tcW w:w="0" w:type="auto"/>
            <w:shd w:val="clear" w:color="auto" w:fill="auto"/>
            <w:tcMar>
              <w:top w:w="40" w:type="dxa"/>
              <w:left w:w="40" w:type="dxa"/>
              <w:bottom w:w="40" w:type="dxa"/>
              <w:right w:w="40" w:type="dxa"/>
            </w:tcMar>
            <w:vAlign w:val="bottom"/>
          </w:tcPr>
          <w:p w14:paraId="3750EF6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tcPr>
          <w:p w14:paraId="3750EF61" w14:textId="77777777" w:rsidR="002541AD" w:rsidRDefault="00901AA6">
            <w:pPr>
              <w:jc w:val="center"/>
              <w:textAlignment w:val="top"/>
              <w:rPr>
                <w:rFonts w:ascii="Times New Roman" w:hAnsi="Times New Roman"/>
                <w:sz w:val="20"/>
                <w:szCs w:val="20"/>
              </w:rPr>
            </w:pPr>
            <w:r>
              <w:rPr>
                <w:rFonts w:ascii="Arial" w:eastAsia="宋体" w:hAnsi="Arial" w:cs="Arial"/>
                <w:b/>
                <w:bCs/>
                <w:color w:val="0071C5"/>
                <w:sz w:val="20"/>
                <w:szCs w:val="20"/>
              </w:rPr>
              <w:t>INTERNET OF THINGS OPERATING INCOME $B</w:t>
            </w:r>
          </w:p>
        </w:tc>
      </w:tr>
    </w:tbl>
    <w:p w14:paraId="3750EF63" w14:textId="77777777" w:rsidR="002541AD" w:rsidRDefault="00901AA6">
      <w:pPr>
        <w:spacing w:line="288" w:lineRule="auto"/>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Viewer11_files/iot_revenue.jpg"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3750F896" wp14:editId="3750F897">
            <wp:extent cx="304800" cy="304800"/>
            <wp:effectExtent l="0" t="0" r="0" b="0"/>
            <wp:docPr id="27" name="图片 97"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7" descr="IMG_29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/INTEL/./Inline XBRL Viewer11_files/iot_opinc.jpg"</w:instrText>
      </w:r>
      <w:r>
        <w:rPr>
          <w:rFonts w:ascii="Times New Roman" w:eastAsia="宋体" w:hAnsi="Times New Roman"/>
          <w:sz w:val="20"/>
          <w:szCs w:val="20"/>
        </w:rPr>
        <w:instrText xml:space="preserve">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3750F898" wp14:editId="3750F899">
            <wp:extent cx="304800" cy="304800"/>
            <wp:effectExtent l="0" t="0" r="0" b="0"/>
            <wp:docPr id="26" name="图片 98"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8" descr="IMG_29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14600" w:type="dxa"/>
        <w:tblCellMar>
          <w:left w:w="0" w:type="dxa"/>
          <w:right w:w="0" w:type="dxa"/>
        </w:tblCellMar>
        <w:tblLook w:val="04A0" w:firstRow="1" w:lastRow="0" w:firstColumn="1" w:lastColumn="0" w:noHBand="0" w:noVBand="1"/>
      </w:tblPr>
      <w:tblGrid>
        <w:gridCol w:w="2104"/>
        <w:gridCol w:w="1682"/>
        <w:gridCol w:w="1762"/>
        <w:gridCol w:w="1923"/>
        <w:gridCol w:w="1682"/>
        <w:gridCol w:w="1943"/>
        <w:gridCol w:w="1782"/>
        <w:gridCol w:w="1722"/>
      </w:tblGrid>
      <w:tr w:rsidR="002541AD" w14:paraId="3750EF65" w14:textId="77777777">
        <w:tc>
          <w:tcPr>
            <w:tcW w:w="0" w:type="auto"/>
            <w:gridSpan w:val="8"/>
            <w:shd w:val="clear" w:color="auto" w:fill="auto"/>
            <w:vAlign w:val="center"/>
          </w:tcPr>
          <w:p w14:paraId="3750EF64" w14:textId="77777777" w:rsidR="002541AD" w:rsidRDefault="002541AD">
            <w:pPr>
              <w:rPr>
                <w:rFonts w:ascii="Times New Roman" w:hAnsi="Times New Roman"/>
                <w:sz w:val="20"/>
                <w:szCs w:val="20"/>
              </w:rPr>
            </w:pPr>
          </w:p>
        </w:tc>
      </w:tr>
      <w:tr w:rsidR="002541AD" w14:paraId="3750EF6E" w14:textId="77777777">
        <w:tc>
          <w:tcPr>
            <w:tcW w:w="2100" w:type="dxa"/>
            <w:shd w:val="clear" w:color="auto" w:fill="auto"/>
            <w:vAlign w:val="center"/>
          </w:tcPr>
          <w:p w14:paraId="3750EF66" w14:textId="77777777" w:rsidR="002541AD" w:rsidRDefault="002541AD">
            <w:pPr>
              <w:rPr>
                <w:rFonts w:ascii="Times New Roman" w:hAnsi="Times New Roman"/>
                <w:sz w:val="20"/>
                <w:szCs w:val="20"/>
              </w:rPr>
            </w:pPr>
          </w:p>
        </w:tc>
        <w:tc>
          <w:tcPr>
            <w:tcW w:w="1680" w:type="dxa"/>
            <w:shd w:val="clear" w:color="auto" w:fill="auto"/>
            <w:vAlign w:val="center"/>
          </w:tcPr>
          <w:p w14:paraId="3750EF67" w14:textId="77777777" w:rsidR="002541AD" w:rsidRDefault="002541AD">
            <w:pPr>
              <w:rPr>
                <w:rFonts w:ascii="Times New Roman" w:hAnsi="Times New Roman"/>
                <w:sz w:val="20"/>
                <w:szCs w:val="20"/>
              </w:rPr>
            </w:pPr>
          </w:p>
        </w:tc>
        <w:tc>
          <w:tcPr>
            <w:tcW w:w="1760" w:type="dxa"/>
            <w:shd w:val="clear" w:color="auto" w:fill="auto"/>
            <w:vAlign w:val="center"/>
          </w:tcPr>
          <w:p w14:paraId="3750EF68" w14:textId="77777777" w:rsidR="002541AD" w:rsidRDefault="002541AD">
            <w:pPr>
              <w:rPr>
                <w:rFonts w:ascii="Times New Roman" w:hAnsi="Times New Roman"/>
                <w:sz w:val="20"/>
                <w:szCs w:val="20"/>
              </w:rPr>
            </w:pPr>
          </w:p>
        </w:tc>
        <w:tc>
          <w:tcPr>
            <w:tcW w:w="1920" w:type="dxa"/>
            <w:shd w:val="clear" w:color="auto" w:fill="auto"/>
            <w:vAlign w:val="center"/>
          </w:tcPr>
          <w:p w14:paraId="3750EF69" w14:textId="77777777" w:rsidR="002541AD" w:rsidRDefault="002541AD">
            <w:pPr>
              <w:rPr>
                <w:rFonts w:ascii="Times New Roman" w:hAnsi="Times New Roman"/>
                <w:sz w:val="20"/>
                <w:szCs w:val="20"/>
              </w:rPr>
            </w:pPr>
          </w:p>
        </w:tc>
        <w:tc>
          <w:tcPr>
            <w:tcW w:w="1680" w:type="dxa"/>
            <w:shd w:val="clear" w:color="auto" w:fill="auto"/>
            <w:vAlign w:val="center"/>
          </w:tcPr>
          <w:p w14:paraId="3750EF6A" w14:textId="77777777" w:rsidR="002541AD" w:rsidRDefault="002541AD">
            <w:pPr>
              <w:rPr>
                <w:rFonts w:ascii="Times New Roman" w:hAnsi="Times New Roman"/>
                <w:sz w:val="20"/>
                <w:szCs w:val="20"/>
              </w:rPr>
            </w:pPr>
          </w:p>
        </w:tc>
        <w:tc>
          <w:tcPr>
            <w:tcW w:w="1940" w:type="dxa"/>
            <w:shd w:val="clear" w:color="auto" w:fill="auto"/>
            <w:vAlign w:val="center"/>
          </w:tcPr>
          <w:p w14:paraId="3750EF6B" w14:textId="77777777" w:rsidR="002541AD" w:rsidRDefault="002541AD">
            <w:pPr>
              <w:rPr>
                <w:rFonts w:ascii="Times New Roman" w:hAnsi="Times New Roman"/>
                <w:sz w:val="20"/>
                <w:szCs w:val="20"/>
              </w:rPr>
            </w:pPr>
          </w:p>
        </w:tc>
        <w:tc>
          <w:tcPr>
            <w:tcW w:w="1780" w:type="dxa"/>
            <w:shd w:val="clear" w:color="auto" w:fill="auto"/>
            <w:vAlign w:val="center"/>
          </w:tcPr>
          <w:p w14:paraId="3750EF6C" w14:textId="77777777" w:rsidR="002541AD" w:rsidRDefault="002541AD">
            <w:pPr>
              <w:rPr>
                <w:rFonts w:ascii="Times New Roman" w:hAnsi="Times New Roman"/>
                <w:sz w:val="20"/>
                <w:szCs w:val="20"/>
              </w:rPr>
            </w:pPr>
          </w:p>
        </w:tc>
        <w:tc>
          <w:tcPr>
            <w:tcW w:w="1720" w:type="dxa"/>
            <w:shd w:val="clear" w:color="auto" w:fill="auto"/>
            <w:vAlign w:val="center"/>
          </w:tcPr>
          <w:p w14:paraId="3750EF6D" w14:textId="77777777" w:rsidR="002541AD" w:rsidRDefault="002541AD">
            <w:pPr>
              <w:rPr>
                <w:rFonts w:ascii="Times New Roman" w:hAnsi="Times New Roman"/>
                <w:sz w:val="20"/>
                <w:szCs w:val="20"/>
              </w:rPr>
            </w:pPr>
          </w:p>
        </w:tc>
      </w:tr>
      <w:tr w:rsidR="002541AD" w14:paraId="3750EF77" w14:textId="77777777">
        <w:tc>
          <w:tcPr>
            <w:tcW w:w="0" w:type="auto"/>
            <w:shd w:val="clear" w:color="auto" w:fill="auto"/>
            <w:tcMar>
              <w:top w:w="40" w:type="dxa"/>
              <w:left w:w="40" w:type="dxa"/>
              <w:bottom w:w="40" w:type="dxa"/>
              <w:right w:w="40" w:type="dxa"/>
            </w:tcMar>
            <w:vAlign w:val="bottom"/>
          </w:tcPr>
          <w:p w14:paraId="3750EF6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3750EF70" w14:textId="77777777" w:rsidR="002541AD" w:rsidRDefault="00901AA6">
            <w:pPr>
              <w:jc w:val="center"/>
              <w:textAlignment w:val="center"/>
              <w:rPr>
                <w:rFonts w:ascii="Times New Roman" w:hAnsi="Times New Roman"/>
                <w:sz w:val="16"/>
                <w:szCs w:val="16"/>
              </w:rPr>
            </w:pPr>
            <w:r>
              <w:rPr>
                <w:rFonts w:ascii="Arial" w:eastAsia="宋体" w:hAnsi="Arial" w:cs="Arial"/>
                <w:color w:val="003C71"/>
                <w:sz w:val="16"/>
                <w:szCs w:val="16"/>
              </w:rPr>
              <w:t>■</w:t>
            </w:r>
            <w:r>
              <w:rPr>
                <w:rFonts w:ascii="Arial" w:eastAsia="宋体" w:hAnsi="Arial" w:cs="Arial"/>
                <w:color w:val="333333"/>
                <w:sz w:val="16"/>
                <w:szCs w:val="16"/>
              </w:rPr>
              <w:t xml:space="preserve"> IOTG </w:t>
            </w:r>
          </w:p>
        </w:tc>
        <w:tc>
          <w:tcPr>
            <w:tcW w:w="0" w:type="auto"/>
            <w:shd w:val="clear" w:color="auto" w:fill="auto"/>
            <w:tcMar>
              <w:top w:w="40" w:type="dxa"/>
              <w:left w:w="40" w:type="dxa"/>
              <w:bottom w:w="40" w:type="dxa"/>
              <w:right w:w="40" w:type="dxa"/>
            </w:tcMar>
            <w:vAlign w:val="center"/>
          </w:tcPr>
          <w:p w14:paraId="3750EF71" w14:textId="77777777" w:rsidR="002541AD" w:rsidRDefault="00901AA6">
            <w:pPr>
              <w:textAlignment w:val="center"/>
              <w:rPr>
                <w:rFonts w:ascii="Times New Roman" w:hAnsi="Times New Roman"/>
                <w:sz w:val="16"/>
                <w:szCs w:val="16"/>
              </w:rPr>
            </w:pPr>
            <w:r>
              <w:rPr>
                <w:rFonts w:ascii="Arial" w:eastAsia="宋体" w:hAnsi="Arial" w:cs="Arial"/>
                <w:color w:val="0094FF"/>
                <w:sz w:val="16"/>
                <w:szCs w:val="16"/>
              </w:rPr>
              <w:t xml:space="preserve">■ </w:t>
            </w:r>
            <w:r>
              <w:rPr>
                <w:rFonts w:ascii="Arial" w:eastAsia="宋体" w:hAnsi="Arial" w:cs="Arial"/>
                <w:color w:val="333333"/>
                <w:sz w:val="16"/>
                <w:szCs w:val="16"/>
              </w:rPr>
              <w:t>Mobileye</w:t>
            </w:r>
          </w:p>
        </w:tc>
        <w:tc>
          <w:tcPr>
            <w:tcW w:w="0" w:type="auto"/>
            <w:shd w:val="clear" w:color="auto" w:fill="auto"/>
            <w:tcMar>
              <w:top w:w="40" w:type="dxa"/>
              <w:left w:w="40" w:type="dxa"/>
              <w:bottom w:w="40" w:type="dxa"/>
              <w:right w:w="40" w:type="dxa"/>
            </w:tcMar>
            <w:vAlign w:val="bottom"/>
          </w:tcPr>
          <w:p w14:paraId="3750EF7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EF7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3750EF74" w14:textId="77777777" w:rsidR="002541AD" w:rsidRDefault="00901AA6">
            <w:pPr>
              <w:jc w:val="center"/>
              <w:textAlignment w:val="center"/>
              <w:rPr>
                <w:rFonts w:ascii="Times New Roman" w:hAnsi="Times New Roman"/>
                <w:sz w:val="16"/>
                <w:szCs w:val="16"/>
              </w:rPr>
            </w:pPr>
            <w:r>
              <w:rPr>
                <w:rFonts w:ascii="Arial" w:eastAsia="宋体" w:hAnsi="Arial" w:cs="Arial"/>
                <w:color w:val="003C71"/>
                <w:sz w:val="16"/>
                <w:szCs w:val="16"/>
              </w:rPr>
              <w:t>■</w:t>
            </w:r>
            <w:r>
              <w:rPr>
                <w:rFonts w:ascii="Arial" w:eastAsia="宋体" w:hAnsi="Arial" w:cs="Arial"/>
                <w:color w:val="333333"/>
                <w:sz w:val="16"/>
                <w:szCs w:val="16"/>
              </w:rPr>
              <w:t xml:space="preserve"> IOTG </w:t>
            </w:r>
          </w:p>
        </w:tc>
        <w:tc>
          <w:tcPr>
            <w:tcW w:w="0" w:type="auto"/>
            <w:shd w:val="clear" w:color="auto" w:fill="auto"/>
            <w:tcMar>
              <w:top w:w="40" w:type="dxa"/>
              <w:left w:w="40" w:type="dxa"/>
              <w:bottom w:w="40" w:type="dxa"/>
              <w:right w:w="40" w:type="dxa"/>
            </w:tcMar>
            <w:vAlign w:val="center"/>
          </w:tcPr>
          <w:p w14:paraId="3750EF75" w14:textId="77777777" w:rsidR="002541AD" w:rsidRDefault="00901AA6">
            <w:pPr>
              <w:textAlignment w:val="center"/>
              <w:rPr>
                <w:rFonts w:ascii="Times New Roman" w:hAnsi="Times New Roman"/>
                <w:sz w:val="16"/>
                <w:szCs w:val="16"/>
              </w:rPr>
            </w:pPr>
            <w:r>
              <w:rPr>
                <w:rFonts w:ascii="Arial" w:eastAsia="宋体" w:hAnsi="Arial" w:cs="Arial"/>
                <w:color w:val="0094FF"/>
                <w:sz w:val="16"/>
                <w:szCs w:val="16"/>
              </w:rPr>
              <w:t xml:space="preserve">■ </w:t>
            </w:r>
            <w:r>
              <w:rPr>
                <w:rFonts w:ascii="Arial" w:eastAsia="宋体" w:hAnsi="Arial" w:cs="Arial"/>
                <w:color w:val="333333"/>
                <w:sz w:val="16"/>
                <w:szCs w:val="16"/>
              </w:rPr>
              <w:t>Mobileye</w:t>
            </w:r>
          </w:p>
        </w:tc>
        <w:tc>
          <w:tcPr>
            <w:tcW w:w="0" w:type="auto"/>
            <w:shd w:val="clear" w:color="auto" w:fill="auto"/>
            <w:tcMar>
              <w:top w:w="40" w:type="dxa"/>
              <w:left w:w="40" w:type="dxa"/>
              <w:bottom w:w="40" w:type="dxa"/>
              <w:right w:w="40" w:type="dxa"/>
            </w:tcMar>
            <w:vAlign w:val="bottom"/>
          </w:tcPr>
          <w:p w14:paraId="3750EF7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bl>
    <w:p w14:paraId="3750EF78" w14:textId="77777777" w:rsidR="002541AD" w:rsidRDefault="002541AD">
      <w:pPr>
        <w:rPr>
          <w:vanish/>
        </w:rPr>
      </w:pPr>
    </w:p>
    <w:tbl>
      <w:tblPr>
        <w:tblW w:w="5000" w:type="pct"/>
        <w:tblCellMar>
          <w:left w:w="0" w:type="dxa"/>
          <w:right w:w="0" w:type="dxa"/>
        </w:tblCellMar>
        <w:tblLook w:val="04A0" w:firstRow="1" w:lastRow="0" w:firstColumn="1" w:lastColumn="0" w:noHBand="0" w:noVBand="1"/>
      </w:tblPr>
      <w:tblGrid>
        <w:gridCol w:w="8306"/>
      </w:tblGrid>
      <w:tr w:rsidR="002541AD" w14:paraId="3750EF7A" w14:textId="77777777">
        <w:tc>
          <w:tcPr>
            <w:tcW w:w="0" w:type="auto"/>
            <w:shd w:val="clear" w:color="auto" w:fill="auto"/>
            <w:vAlign w:val="center"/>
          </w:tcPr>
          <w:p w14:paraId="3750EF79" w14:textId="77777777" w:rsidR="002541AD" w:rsidRDefault="002541AD">
            <w:pPr>
              <w:rPr>
                <w:rFonts w:ascii="Times New Roman" w:hAnsi="Times New Roman"/>
                <w:sz w:val="20"/>
                <w:szCs w:val="20"/>
              </w:rPr>
            </w:pPr>
          </w:p>
        </w:tc>
      </w:tr>
      <w:tr w:rsidR="002541AD" w14:paraId="3750EF7C" w14:textId="77777777">
        <w:tc>
          <w:tcPr>
            <w:tcW w:w="5000" w:type="pct"/>
            <w:shd w:val="clear" w:color="auto" w:fill="auto"/>
            <w:vAlign w:val="center"/>
          </w:tcPr>
          <w:p w14:paraId="3750EF7B" w14:textId="77777777" w:rsidR="002541AD" w:rsidRDefault="002541AD">
            <w:pPr>
              <w:rPr>
                <w:rFonts w:ascii="Times New Roman" w:hAnsi="Times New Roman"/>
                <w:sz w:val="20"/>
                <w:szCs w:val="20"/>
              </w:rPr>
            </w:pPr>
          </w:p>
        </w:tc>
      </w:tr>
      <w:tr w:rsidR="002541AD" w14:paraId="3750EF7E"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3750EF7D" w14:textId="77777777" w:rsidR="002541AD" w:rsidRDefault="00901AA6">
            <w:pPr>
              <w:textAlignment w:val="bottom"/>
              <w:rPr>
                <w:rFonts w:ascii="Times New Roman" w:hAnsi="Times New Roman"/>
                <w:sz w:val="20"/>
                <w:szCs w:val="20"/>
              </w:rPr>
            </w:pPr>
            <w:r>
              <w:rPr>
                <w:rFonts w:ascii="Arial" w:eastAsia="宋体" w:hAnsi="Arial" w:cs="Arial"/>
                <w:b/>
                <w:bCs/>
                <w:color w:val="0071C5"/>
                <w:sz w:val="20"/>
                <w:szCs w:val="20"/>
              </w:rPr>
              <w:t>REVENUE AND OPERATING INCOME SUMMARY</w:t>
            </w:r>
          </w:p>
        </w:tc>
      </w:tr>
    </w:tbl>
    <w:p w14:paraId="3750EF7F" w14:textId="77777777" w:rsidR="002541AD" w:rsidRDefault="002541AD">
      <w:pPr>
        <w:rPr>
          <w:vanish/>
        </w:rPr>
      </w:pPr>
    </w:p>
    <w:tbl>
      <w:tblPr>
        <w:tblW w:w="5000" w:type="pct"/>
        <w:tblCellMar>
          <w:left w:w="0" w:type="dxa"/>
          <w:right w:w="0" w:type="dxa"/>
        </w:tblCellMar>
        <w:tblLook w:val="04A0" w:firstRow="1" w:lastRow="0" w:firstColumn="1" w:lastColumn="0" w:noHBand="0" w:noVBand="1"/>
      </w:tblPr>
      <w:tblGrid>
        <w:gridCol w:w="8306"/>
      </w:tblGrid>
      <w:tr w:rsidR="002541AD" w14:paraId="3750EF81" w14:textId="77777777">
        <w:tc>
          <w:tcPr>
            <w:tcW w:w="0" w:type="auto"/>
            <w:shd w:val="clear" w:color="auto" w:fill="auto"/>
            <w:vAlign w:val="center"/>
          </w:tcPr>
          <w:p w14:paraId="3750EF80" w14:textId="77777777" w:rsidR="002541AD" w:rsidRDefault="002541AD">
            <w:pPr>
              <w:rPr>
                <w:rFonts w:ascii="Times New Roman" w:hAnsi="Times New Roman"/>
                <w:sz w:val="20"/>
                <w:szCs w:val="20"/>
              </w:rPr>
            </w:pPr>
          </w:p>
        </w:tc>
      </w:tr>
      <w:tr w:rsidR="002541AD" w14:paraId="3750EF83" w14:textId="77777777">
        <w:tc>
          <w:tcPr>
            <w:tcW w:w="5000" w:type="pct"/>
            <w:shd w:val="clear" w:color="auto" w:fill="auto"/>
            <w:vAlign w:val="center"/>
          </w:tcPr>
          <w:p w14:paraId="3750EF82" w14:textId="77777777" w:rsidR="002541AD" w:rsidRDefault="002541AD">
            <w:pPr>
              <w:rPr>
                <w:rFonts w:ascii="Times New Roman" w:hAnsi="Times New Roman"/>
                <w:sz w:val="20"/>
                <w:szCs w:val="20"/>
              </w:rPr>
            </w:pPr>
          </w:p>
        </w:tc>
      </w:tr>
      <w:tr w:rsidR="002541AD" w14:paraId="3750EF85"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3750EF84" w14:textId="77777777" w:rsidR="002541AD" w:rsidRDefault="00901AA6">
            <w:pPr>
              <w:textAlignment w:val="bottom"/>
              <w:rPr>
                <w:rFonts w:ascii="Times New Roman" w:hAnsi="Times New Roman"/>
                <w:sz w:val="20"/>
                <w:szCs w:val="20"/>
              </w:rPr>
            </w:pPr>
            <w:r>
              <w:rPr>
                <w:rFonts w:ascii="Arial" w:eastAsia="宋体" w:hAnsi="Arial" w:cs="Arial"/>
                <w:b/>
                <w:bCs/>
                <w:color w:val="333333"/>
                <w:sz w:val="20"/>
                <w:szCs w:val="20"/>
              </w:rPr>
              <w:t>Q1 2020 vs. Q1 2019</w:t>
            </w:r>
          </w:p>
        </w:tc>
      </w:tr>
    </w:tbl>
    <w:p w14:paraId="3750EF86"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IOTG revenue was $883 million, down $27 million, driven by weaker demand for IOTG platform products in industrial and retail due to COVID-19. We expect this weakening to continue for the rest of the year. Operating income was $243 million, down $8 million </w:t>
      </w:r>
      <w:r>
        <w:rPr>
          <w:rFonts w:ascii="Arial" w:eastAsia="宋体" w:hAnsi="Arial" w:cs="Arial"/>
          <w:color w:val="333333"/>
          <w:sz w:val="18"/>
          <w:szCs w:val="18"/>
        </w:rPr>
        <w:t xml:space="preserve">year over year. </w:t>
      </w:r>
    </w:p>
    <w:p w14:paraId="3750EF87"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Mobileye recognized record revenue of $254 million, up $45 million, due to our growing market share and the increasing adoption of our ADAS solutions. Operating income was $88 million, up $20 million. We expect demand will soften in 2020 a</w:t>
      </w:r>
      <w:r>
        <w:rPr>
          <w:rFonts w:ascii="Arial" w:eastAsia="宋体" w:hAnsi="Arial" w:cs="Arial"/>
          <w:color w:val="333333"/>
          <w:sz w:val="18"/>
          <w:szCs w:val="18"/>
        </w:rPr>
        <w:t xml:space="preserve">s the effects of COVID-19 continue to slow automotive production. </w:t>
      </w:r>
    </w:p>
    <w:p w14:paraId="3750EF88"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EF8A" w14:textId="77777777">
        <w:tc>
          <w:tcPr>
            <w:tcW w:w="0" w:type="auto"/>
            <w:gridSpan w:val="3"/>
            <w:shd w:val="clear" w:color="auto" w:fill="auto"/>
            <w:vAlign w:val="center"/>
          </w:tcPr>
          <w:p w14:paraId="3750EF89" w14:textId="77777777" w:rsidR="002541AD" w:rsidRDefault="002541AD">
            <w:pPr>
              <w:rPr>
                <w:rFonts w:ascii="Times New Roman" w:hAnsi="Times New Roman"/>
                <w:sz w:val="20"/>
                <w:szCs w:val="20"/>
              </w:rPr>
            </w:pPr>
          </w:p>
        </w:tc>
      </w:tr>
      <w:tr w:rsidR="002541AD" w14:paraId="3750EF8E" w14:textId="77777777">
        <w:tc>
          <w:tcPr>
            <w:tcW w:w="1550" w:type="pct"/>
            <w:shd w:val="clear" w:color="auto" w:fill="auto"/>
            <w:vAlign w:val="center"/>
          </w:tcPr>
          <w:p w14:paraId="3750EF8B" w14:textId="77777777" w:rsidR="002541AD" w:rsidRDefault="002541AD">
            <w:pPr>
              <w:rPr>
                <w:rFonts w:ascii="Times New Roman" w:hAnsi="Times New Roman"/>
                <w:sz w:val="20"/>
                <w:szCs w:val="20"/>
              </w:rPr>
            </w:pPr>
          </w:p>
        </w:tc>
        <w:tc>
          <w:tcPr>
            <w:tcW w:w="2200" w:type="pct"/>
            <w:shd w:val="clear" w:color="auto" w:fill="auto"/>
            <w:vAlign w:val="center"/>
          </w:tcPr>
          <w:p w14:paraId="3750EF8C" w14:textId="77777777" w:rsidR="002541AD" w:rsidRDefault="002541AD">
            <w:pPr>
              <w:rPr>
                <w:rFonts w:ascii="Times New Roman" w:hAnsi="Times New Roman"/>
                <w:sz w:val="20"/>
                <w:szCs w:val="20"/>
              </w:rPr>
            </w:pPr>
          </w:p>
        </w:tc>
        <w:tc>
          <w:tcPr>
            <w:tcW w:w="1250" w:type="pct"/>
            <w:shd w:val="clear" w:color="auto" w:fill="auto"/>
            <w:vAlign w:val="center"/>
          </w:tcPr>
          <w:p w14:paraId="3750EF8D" w14:textId="77777777" w:rsidR="002541AD" w:rsidRDefault="002541AD">
            <w:pPr>
              <w:rPr>
                <w:rFonts w:ascii="Times New Roman" w:hAnsi="Times New Roman"/>
                <w:sz w:val="20"/>
                <w:szCs w:val="20"/>
              </w:rPr>
            </w:pPr>
          </w:p>
        </w:tc>
      </w:tr>
      <w:tr w:rsidR="002541AD" w14:paraId="3750EF92"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EF8F"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9A" wp14:editId="3750F89B">
                  <wp:extent cx="304800" cy="304800"/>
                  <wp:effectExtent l="0" t="0" r="0" b="0"/>
                  <wp:docPr id="68" name="图片 99"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99"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F9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F91"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28</w:t>
            </w:r>
          </w:p>
        </w:tc>
      </w:tr>
    </w:tbl>
    <w:p w14:paraId="3750EF93" w14:textId="77777777" w:rsidR="002541AD" w:rsidRDefault="002541AD">
      <w:pPr>
        <w:spacing w:line="288" w:lineRule="auto"/>
        <w:rPr>
          <w:rFonts w:ascii="Times New Roman" w:hAnsi="Times New Roman"/>
          <w:sz w:val="18"/>
          <w:szCs w:val="18"/>
        </w:rPr>
      </w:pPr>
    </w:p>
    <w:p w14:paraId="3750EF94" w14:textId="77777777" w:rsidR="002541AD" w:rsidRDefault="00901AA6">
      <w:r>
        <w:rPr>
          <w:rFonts w:ascii="Times New Roman" w:hAnsi="Times New Roman"/>
          <w:sz w:val="18"/>
          <w:szCs w:val="18"/>
        </w:rPr>
        <w:pict w14:anchorId="3750F89C">
          <v:rect id="_x0000_i1054" style="width:415.3pt;height:1.5pt" o:hralign="center" o:hrstd="t" o:hr="t" fillcolor="#a0a0a0" stroked="f"/>
        </w:pict>
      </w:r>
    </w:p>
    <w:p w14:paraId="3750EF95" w14:textId="77777777" w:rsidR="002541AD" w:rsidRDefault="00901AA6">
      <w:pPr>
        <w:spacing w:line="288" w:lineRule="auto"/>
        <w:jc w:val="right"/>
        <w:rPr>
          <w:rFonts w:ascii="Times New Roman" w:hAnsi="Times New Roman"/>
          <w:sz w:val="16"/>
          <w:szCs w:val="16"/>
        </w:rPr>
      </w:pPr>
      <w:hyperlink r:id="rId57" w:anchor="s2CABEAF4222C52B4A34547BF538A8C27" w:history="1">
        <w:r>
          <w:rPr>
            <w:rStyle w:val="a5"/>
            <w:rFonts w:ascii="Arial" w:eastAsia="宋体" w:hAnsi="Arial" w:cs="Arial"/>
            <w:b/>
            <w:bCs/>
            <w:sz w:val="16"/>
            <w:szCs w:val="16"/>
          </w:rPr>
          <w:t>Table of Contents</w:t>
        </w:r>
      </w:hyperlink>
    </w:p>
    <w:p w14:paraId="3750EF96" w14:textId="77777777" w:rsidR="002541AD" w:rsidRDefault="002541AD">
      <w:pPr>
        <w:spacing w:line="288" w:lineRule="auto"/>
        <w:jc w:val="right"/>
        <w:rPr>
          <w:rFonts w:ascii="Times New Roman" w:hAnsi="Times New Roman"/>
          <w:sz w:val="18"/>
          <w:szCs w:val="18"/>
        </w:rPr>
      </w:pPr>
    </w:p>
    <w:p w14:paraId="3750EF97" w14:textId="77777777" w:rsidR="002541AD" w:rsidRDefault="002541AD">
      <w:pPr>
        <w:rPr>
          <w:rFonts w:ascii="Times New Roman" w:hAnsi="Times New Roman"/>
          <w:sz w:val="20"/>
          <w:szCs w:val="20"/>
        </w:rPr>
      </w:pPr>
    </w:p>
    <w:p w14:paraId="3750EF98"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 xml:space="preserve">NON-VOLATILE MEMORY SOLUTIONS GROUP </w:t>
      </w:r>
    </w:p>
    <w:p w14:paraId="3750EF99"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NSG is a technology leader in </w:t>
      </w:r>
      <w:r>
        <w:rPr>
          <w:rFonts w:ascii="Arial" w:eastAsia="宋体" w:hAnsi="Arial" w:cs="Arial"/>
          <w:color w:val="333333"/>
          <w:sz w:val="18"/>
          <w:szCs w:val="18"/>
        </w:rPr>
        <w:t>next-generation memory and storage products based on breakthrough Intel</w:t>
      </w:r>
      <w:r>
        <w:rPr>
          <w:rFonts w:ascii="Arial" w:eastAsia="宋体" w:hAnsi="Arial" w:cs="Arial"/>
          <w:color w:val="333333"/>
          <w:sz w:val="12"/>
          <w:szCs w:val="12"/>
        </w:rPr>
        <w:t>®</w:t>
      </w:r>
      <w:r>
        <w:rPr>
          <w:rFonts w:ascii="Arial" w:eastAsia="宋体" w:hAnsi="Arial" w:cs="Arial"/>
          <w:color w:val="333333"/>
          <w:sz w:val="18"/>
          <w:szCs w:val="18"/>
        </w:rPr>
        <w:t xml:space="preserve"> Optane™ technology and Intel</w:t>
      </w:r>
      <w:r>
        <w:rPr>
          <w:rFonts w:ascii="Arial" w:eastAsia="宋体" w:hAnsi="Arial" w:cs="Arial"/>
          <w:color w:val="333333"/>
          <w:sz w:val="12"/>
          <w:szCs w:val="12"/>
        </w:rPr>
        <w:t>®</w:t>
      </w:r>
      <w:r>
        <w:rPr>
          <w:rFonts w:ascii="Arial" w:eastAsia="宋体" w:hAnsi="Arial" w:cs="Arial"/>
          <w:color w:val="333333"/>
          <w:sz w:val="18"/>
          <w:szCs w:val="18"/>
        </w:rPr>
        <w:t xml:space="preserve"> 3D NAND technology. NSG is disrupting the memory and storage hierarchy with new tiers that balance capacity, performance, and cost. We offer 64-layer TLC</w:t>
      </w:r>
      <w:r>
        <w:rPr>
          <w:rFonts w:ascii="Arial" w:eastAsia="宋体" w:hAnsi="Arial" w:cs="Arial"/>
          <w:color w:val="333333"/>
          <w:sz w:val="18"/>
          <w:szCs w:val="18"/>
        </w:rPr>
        <w:t xml:space="preserve"> and QLC NAND high-capacity SSDs, and unparalleled low latency and high performance with Intel</w:t>
      </w:r>
      <w:r>
        <w:rPr>
          <w:rFonts w:ascii="Arial" w:eastAsia="宋体" w:hAnsi="Arial" w:cs="Arial"/>
          <w:color w:val="333333"/>
          <w:sz w:val="12"/>
          <w:szCs w:val="12"/>
        </w:rPr>
        <w:t>®</w:t>
      </w:r>
      <w:r>
        <w:rPr>
          <w:rFonts w:ascii="Arial" w:eastAsia="宋体" w:hAnsi="Arial" w:cs="Arial"/>
          <w:color w:val="333333"/>
          <w:sz w:val="18"/>
          <w:szCs w:val="18"/>
        </w:rPr>
        <w:t xml:space="preserve"> Optane™ technology—both available in innovative new form factors and densities to address the memory and storage challenges our customers face in a rapidly evol</w:t>
      </w:r>
      <w:r>
        <w:rPr>
          <w:rFonts w:ascii="Arial" w:eastAsia="宋体" w:hAnsi="Arial" w:cs="Arial"/>
          <w:color w:val="333333"/>
          <w:sz w:val="18"/>
          <w:szCs w:val="18"/>
        </w:rPr>
        <w:t xml:space="preserve">ving technological landscape. Our customers include enterprise and cloud-based data centers, and users of business and consumer desktops and laptops. </w:t>
      </w:r>
    </w:p>
    <w:tbl>
      <w:tblPr>
        <w:tblW w:w="14120" w:type="dxa"/>
        <w:tblCellMar>
          <w:left w:w="0" w:type="dxa"/>
          <w:right w:w="0" w:type="dxa"/>
        </w:tblCellMar>
        <w:tblLook w:val="04A0" w:firstRow="1" w:lastRow="0" w:firstColumn="1" w:lastColumn="0" w:noHBand="0" w:noVBand="1"/>
      </w:tblPr>
      <w:tblGrid>
        <w:gridCol w:w="521"/>
        <w:gridCol w:w="6097"/>
        <w:gridCol w:w="1244"/>
        <w:gridCol w:w="6258"/>
      </w:tblGrid>
      <w:tr w:rsidR="002541AD" w14:paraId="3750EF9B" w14:textId="77777777">
        <w:tc>
          <w:tcPr>
            <w:tcW w:w="0" w:type="auto"/>
            <w:gridSpan w:val="4"/>
            <w:shd w:val="clear" w:color="auto" w:fill="auto"/>
            <w:vAlign w:val="center"/>
          </w:tcPr>
          <w:p w14:paraId="3750EF9A" w14:textId="77777777" w:rsidR="002541AD" w:rsidRDefault="002541AD">
            <w:pPr>
              <w:rPr>
                <w:rFonts w:ascii="Times New Roman" w:hAnsi="Times New Roman"/>
                <w:sz w:val="20"/>
                <w:szCs w:val="20"/>
              </w:rPr>
            </w:pPr>
          </w:p>
        </w:tc>
      </w:tr>
      <w:tr w:rsidR="002541AD" w14:paraId="3750EFA0" w14:textId="77777777">
        <w:tc>
          <w:tcPr>
            <w:tcW w:w="520" w:type="dxa"/>
            <w:shd w:val="clear" w:color="auto" w:fill="auto"/>
            <w:vAlign w:val="center"/>
          </w:tcPr>
          <w:p w14:paraId="3750EF9C" w14:textId="77777777" w:rsidR="002541AD" w:rsidRDefault="002541AD">
            <w:pPr>
              <w:rPr>
                <w:rFonts w:ascii="Times New Roman" w:hAnsi="Times New Roman"/>
                <w:sz w:val="20"/>
                <w:szCs w:val="20"/>
              </w:rPr>
            </w:pPr>
          </w:p>
        </w:tc>
        <w:tc>
          <w:tcPr>
            <w:tcW w:w="6080" w:type="dxa"/>
            <w:shd w:val="clear" w:color="auto" w:fill="auto"/>
            <w:vAlign w:val="center"/>
          </w:tcPr>
          <w:p w14:paraId="3750EF9D" w14:textId="77777777" w:rsidR="002541AD" w:rsidRDefault="002541AD">
            <w:pPr>
              <w:rPr>
                <w:rFonts w:ascii="Times New Roman" w:hAnsi="Times New Roman"/>
                <w:sz w:val="20"/>
                <w:szCs w:val="20"/>
              </w:rPr>
            </w:pPr>
          </w:p>
        </w:tc>
        <w:tc>
          <w:tcPr>
            <w:tcW w:w="1240" w:type="dxa"/>
            <w:shd w:val="clear" w:color="auto" w:fill="auto"/>
            <w:vAlign w:val="center"/>
          </w:tcPr>
          <w:p w14:paraId="3750EF9E" w14:textId="77777777" w:rsidR="002541AD" w:rsidRDefault="002541AD">
            <w:pPr>
              <w:rPr>
                <w:rFonts w:ascii="Times New Roman" w:hAnsi="Times New Roman"/>
                <w:sz w:val="20"/>
                <w:szCs w:val="20"/>
              </w:rPr>
            </w:pPr>
          </w:p>
        </w:tc>
        <w:tc>
          <w:tcPr>
            <w:tcW w:w="6240" w:type="dxa"/>
            <w:shd w:val="clear" w:color="auto" w:fill="auto"/>
            <w:vAlign w:val="center"/>
          </w:tcPr>
          <w:p w14:paraId="3750EF9F" w14:textId="77777777" w:rsidR="002541AD" w:rsidRDefault="002541AD">
            <w:pPr>
              <w:rPr>
                <w:rFonts w:ascii="Times New Roman" w:hAnsi="Times New Roman"/>
                <w:sz w:val="20"/>
                <w:szCs w:val="20"/>
              </w:rPr>
            </w:pPr>
          </w:p>
        </w:tc>
      </w:tr>
      <w:tr w:rsidR="002541AD" w14:paraId="3750EFA5" w14:textId="77777777">
        <w:tc>
          <w:tcPr>
            <w:tcW w:w="0" w:type="auto"/>
            <w:shd w:val="clear" w:color="auto" w:fill="auto"/>
            <w:tcMar>
              <w:top w:w="40" w:type="dxa"/>
              <w:left w:w="40" w:type="dxa"/>
              <w:bottom w:w="40" w:type="dxa"/>
              <w:right w:w="40" w:type="dxa"/>
            </w:tcMar>
            <w:vAlign w:val="bottom"/>
          </w:tcPr>
          <w:p w14:paraId="3750EFA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tcPr>
          <w:p w14:paraId="3750EFA2" w14:textId="77777777" w:rsidR="002541AD" w:rsidRDefault="00901AA6">
            <w:pPr>
              <w:jc w:val="center"/>
              <w:textAlignment w:val="top"/>
              <w:rPr>
                <w:rFonts w:ascii="Times New Roman" w:hAnsi="Times New Roman"/>
                <w:sz w:val="20"/>
                <w:szCs w:val="20"/>
              </w:rPr>
            </w:pPr>
            <w:r>
              <w:rPr>
                <w:rFonts w:ascii="Arial" w:eastAsia="宋体" w:hAnsi="Arial" w:cs="Arial"/>
                <w:b/>
                <w:bCs/>
                <w:color w:val="0071C5"/>
                <w:sz w:val="20"/>
                <w:szCs w:val="20"/>
              </w:rPr>
              <w:t>NSG REVENUE $B</w:t>
            </w:r>
          </w:p>
        </w:tc>
        <w:tc>
          <w:tcPr>
            <w:tcW w:w="0" w:type="auto"/>
            <w:shd w:val="clear" w:color="auto" w:fill="auto"/>
            <w:tcMar>
              <w:top w:w="40" w:type="dxa"/>
              <w:left w:w="40" w:type="dxa"/>
              <w:bottom w:w="40" w:type="dxa"/>
              <w:right w:w="40" w:type="dxa"/>
            </w:tcMar>
            <w:vAlign w:val="bottom"/>
          </w:tcPr>
          <w:p w14:paraId="3750EFA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tcPr>
          <w:p w14:paraId="3750EFA4" w14:textId="77777777" w:rsidR="002541AD" w:rsidRDefault="00901AA6">
            <w:pPr>
              <w:jc w:val="center"/>
              <w:textAlignment w:val="top"/>
              <w:rPr>
                <w:rFonts w:ascii="Times New Roman" w:hAnsi="Times New Roman"/>
                <w:sz w:val="20"/>
                <w:szCs w:val="20"/>
              </w:rPr>
            </w:pPr>
            <w:r>
              <w:rPr>
                <w:rFonts w:ascii="Arial" w:eastAsia="宋体" w:hAnsi="Arial" w:cs="Arial"/>
                <w:b/>
                <w:bCs/>
                <w:color w:val="0071C5"/>
                <w:sz w:val="20"/>
                <w:szCs w:val="20"/>
              </w:rPr>
              <w:t>NSG OPERATING INCOME $B</w:t>
            </w:r>
          </w:p>
        </w:tc>
      </w:tr>
    </w:tbl>
    <w:p w14:paraId="3750EFA6" w14:textId="77777777" w:rsidR="002541AD" w:rsidRDefault="00901AA6">
      <w:pPr>
        <w:spacing w:line="288" w:lineRule="auto"/>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Viewer11_files/nsg_revenue.jpg"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3750F89D" wp14:editId="3750F89E">
            <wp:extent cx="304800" cy="304800"/>
            <wp:effectExtent l="0" t="0" r="0" b="0"/>
            <wp:docPr id="69" name="图片 101"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1" descr="IMG_29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/INTEL/./Inline XBRL Viewer11_files/nsg_opinc.jpg"</w:instrText>
      </w:r>
      <w:r>
        <w:rPr>
          <w:rFonts w:ascii="Times New Roman" w:eastAsia="宋体" w:hAnsi="Times New Roman"/>
          <w:sz w:val="20"/>
          <w:szCs w:val="20"/>
        </w:rPr>
        <w:instrText xml:space="preserve">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3750F89F" wp14:editId="3750F8A0">
            <wp:extent cx="304800" cy="304800"/>
            <wp:effectExtent l="0" t="0" r="0" b="0"/>
            <wp:docPr id="70" name="图片 102"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2" descr="IMG_29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5000" w:type="pct"/>
        <w:tblCellMar>
          <w:left w:w="0" w:type="dxa"/>
          <w:right w:w="0" w:type="dxa"/>
        </w:tblCellMar>
        <w:tblLook w:val="04A0" w:firstRow="1" w:lastRow="0" w:firstColumn="1" w:lastColumn="0" w:noHBand="0" w:noVBand="1"/>
      </w:tblPr>
      <w:tblGrid>
        <w:gridCol w:w="8306"/>
      </w:tblGrid>
      <w:tr w:rsidR="002541AD" w14:paraId="3750EFA8" w14:textId="77777777">
        <w:tc>
          <w:tcPr>
            <w:tcW w:w="0" w:type="auto"/>
            <w:shd w:val="clear" w:color="auto" w:fill="auto"/>
            <w:vAlign w:val="center"/>
          </w:tcPr>
          <w:p w14:paraId="3750EFA7" w14:textId="77777777" w:rsidR="002541AD" w:rsidRDefault="002541AD">
            <w:pPr>
              <w:rPr>
                <w:rFonts w:ascii="Times New Roman" w:hAnsi="Times New Roman"/>
                <w:sz w:val="20"/>
                <w:szCs w:val="20"/>
              </w:rPr>
            </w:pPr>
          </w:p>
        </w:tc>
      </w:tr>
      <w:tr w:rsidR="002541AD" w14:paraId="3750EFAA" w14:textId="77777777">
        <w:tc>
          <w:tcPr>
            <w:tcW w:w="5000" w:type="pct"/>
            <w:shd w:val="clear" w:color="auto" w:fill="auto"/>
            <w:vAlign w:val="center"/>
          </w:tcPr>
          <w:p w14:paraId="3750EFA9" w14:textId="77777777" w:rsidR="002541AD" w:rsidRDefault="002541AD">
            <w:pPr>
              <w:rPr>
                <w:rFonts w:ascii="Times New Roman" w:hAnsi="Times New Roman"/>
                <w:sz w:val="20"/>
                <w:szCs w:val="20"/>
              </w:rPr>
            </w:pPr>
          </w:p>
        </w:tc>
      </w:tr>
      <w:tr w:rsidR="002541AD" w14:paraId="3750EFAC"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3750EFAB" w14:textId="77777777" w:rsidR="002541AD" w:rsidRDefault="00901AA6">
            <w:pPr>
              <w:textAlignment w:val="bottom"/>
              <w:rPr>
                <w:rFonts w:ascii="Times New Roman" w:hAnsi="Times New Roman"/>
                <w:sz w:val="20"/>
                <w:szCs w:val="20"/>
              </w:rPr>
            </w:pPr>
            <w:r>
              <w:rPr>
                <w:rFonts w:ascii="Arial" w:eastAsia="宋体" w:hAnsi="Arial" w:cs="Arial"/>
                <w:b/>
                <w:bCs/>
                <w:color w:val="0071C5"/>
                <w:sz w:val="20"/>
                <w:szCs w:val="20"/>
              </w:rPr>
              <w:t>REVENUE AND OPERATING INCOME SUMMARY</w:t>
            </w:r>
          </w:p>
        </w:tc>
      </w:tr>
    </w:tbl>
    <w:p w14:paraId="3750EFAD" w14:textId="77777777" w:rsidR="002541AD" w:rsidRDefault="002541AD">
      <w:pPr>
        <w:rPr>
          <w:vanish/>
        </w:rPr>
      </w:pPr>
    </w:p>
    <w:tbl>
      <w:tblPr>
        <w:tblW w:w="5000" w:type="pct"/>
        <w:tblCellMar>
          <w:left w:w="0" w:type="dxa"/>
          <w:right w:w="0" w:type="dxa"/>
        </w:tblCellMar>
        <w:tblLook w:val="04A0" w:firstRow="1" w:lastRow="0" w:firstColumn="1" w:lastColumn="0" w:noHBand="0" w:noVBand="1"/>
      </w:tblPr>
      <w:tblGrid>
        <w:gridCol w:w="8306"/>
      </w:tblGrid>
      <w:tr w:rsidR="002541AD" w14:paraId="3750EFAF" w14:textId="77777777">
        <w:tc>
          <w:tcPr>
            <w:tcW w:w="0" w:type="auto"/>
            <w:shd w:val="clear" w:color="auto" w:fill="auto"/>
            <w:vAlign w:val="center"/>
          </w:tcPr>
          <w:p w14:paraId="3750EFAE" w14:textId="77777777" w:rsidR="002541AD" w:rsidRDefault="002541AD">
            <w:pPr>
              <w:rPr>
                <w:rFonts w:ascii="Times New Roman" w:hAnsi="Times New Roman"/>
                <w:sz w:val="20"/>
                <w:szCs w:val="20"/>
              </w:rPr>
            </w:pPr>
          </w:p>
        </w:tc>
      </w:tr>
      <w:tr w:rsidR="002541AD" w14:paraId="3750EFB1" w14:textId="77777777">
        <w:tc>
          <w:tcPr>
            <w:tcW w:w="5000" w:type="pct"/>
            <w:shd w:val="clear" w:color="auto" w:fill="auto"/>
            <w:vAlign w:val="center"/>
          </w:tcPr>
          <w:p w14:paraId="3750EFB0" w14:textId="77777777" w:rsidR="002541AD" w:rsidRDefault="002541AD">
            <w:pPr>
              <w:rPr>
                <w:rFonts w:ascii="Times New Roman" w:hAnsi="Times New Roman"/>
                <w:sz w:val="20"/>
                <w:szCs w:val="20"/>
              </w:rPr>
            </w:pPr>
          </w:p>
        </w:tc>
      </w:tr>
      <w:tr w:rsidR="002541AD" w14:paraId="3750EFB3"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3750EFB2" w14:textId="77777777" w:rsidR="002541AD" w:rsidRDefault="00901AA6">
            <w:pPr>
              <w:textAlignment w:val="bottom"/>
              <w:rPr>
                <w:rFonts w:ascii="Times New Roman" w:hAnsi="Times New Roman"/>
                <w:sz w:val="20"/>
                <w:szCs w:val="20"/>
              </w:rPr>
            </w:pPr>
            <w:r>
              <w:rPr>
                <w:rFonts w:ascii="Arial" w:eastAsia="宋体" w:hAnsi="Arial" w:cs="Arial"/>
                <w:b/>
                <w:bCs/>
                <w:color w:val="333333"/>
                <w:sz w:val="20"/>
                <w:szCs w:val="20"/>
              </w:rPr>
              <w:t>Q1 2020 vs. Q1 2019</w:t>
            </w:r>
          </w:p>
        </w:tc>
      </w:tr>
    </w:tbl>
    <w:p w14:paraId="3750EFB4"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NSG recognized record revenue of $1.3 billion, up $423 million from Q1 2019, driven by $358 million higher volume due to strong demand for NAND products. Our </w:t>
      </w:r>
      <w:r>
        <w:rPr>
          <w:rFonts w:ascii="Arial" w:eastAsia="宋体" w:hAnsi="Arial" w:cs="Arial"/>
          <w:color w:val="333333"/>
          <w:sz w:val="18"/>
          <w:szCs w:val="18"/>
        </w:rPr>
        <w:t>lower operating loss of $66 million in Q1 2020, was due to continued improvements in unit cost, market pricing recovery, and strong demand.</w:t>
      </w:r>
    </w:p>
    <w:p w14:paraId="3750EFB5" w14:textId="77777777" w:rsidR="002541AD" w:rsidRDefault="002541AD">
      <w:pPr>
        <w:spacing w:line="288" w:lineRule="auto"/>
        <w:rPr>
          <w:rFonts w:ascii="Times New Roman" w:hAnsi="Times New Roman"/>
          <w:sz w:val="18"/>
          <w:szCs w:val="18"/>
        </w:rPr>
      </w:pPr>
    </w:p>
    <w:p w14:paraId="3750EFB6" w14:textId="77777777" w:rsidR="002541AD" w:rsidRDefault="002541AD">
      <w:pPr>
        <w:spacing w:line="288" w:lineRule="auto"/>
        <w:rPr>
          <w:rFonts w:ascii="Times New Roman" w:hAnsi="Times New Roman"/>
          <w:sz w:val="18"/>
          <w:szCs w:val="18"/>
        </w:rPr>
      </w:pPr>
    </w:p>
    <w:p w14:paraId="3750EFB7"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EFB9" w14:textId="77777777">
        <w:tc>
          <w:tcPr>
            <w:tcW w:w="0" w:type="auto"/>
            <w:gridSpan w:val="3"/>
            <w:shd w:val="clear" w:color="auto" w:fill="auto"/>
            <w:vAlign w:val="center"/>
          </w:tcPr>
          <w:p w14:paraId="3750EFB8" w14:textId="77777777" w:rsidR="002541AD" w:rsidRDefault="002541AD">
            <w:pPr>
              <w:rPr>
                <w:rFonts w:ascii="Times New Roman" w:hAnsi="Times New Roman"/>
                <w:sz w:val="20"/>
                <w:szCs w:val="20"/>
              </w:rPr>
            </w:pPr>
          </w:p>
        </w:tc>
      </w:tr>
      <w:tr w:rsidR="002541AD" w14:paraId="3750EFBD" w14:textId="77777777">
        <w:tc>
          <w:tcPr>
            <w:tcW w:w="1550" w:type="pct"/>
            <w:shd w:val="clear" w:color="auto" w:fill="auto"/>
            <w:vAlign w:val="center"/>
          </w:tcPr>
          <w:p w14:paraId="3750EFBA" w14:textId="77777777" w:rsidR="002541AD" w:rsidRDefault="002541AD">
            <w:pPr>
              <w:rPr>
                <w:rFonts w:ascii="Times New Roman" w:hAnsi="Times New Roman"/>
                <w:sz w:val="20"/>
                <w:szCs w:val="20"/>
              </w:rPr>
            </w:pPr>
          </w:p>
        </w:tc>
        <w:tc>
          <w:tcPr>
            <w:tcW w:w="2200" w:type="pct"/>
            <w:shd w:val="clear" w:color="auto" w:fill="auto"/>
            <w:vAlign w:val="center"/>
          </w:tcPr>
          <w:p w14:paraId="3750EFBB" w14:textId="77777777" w:rsidR="002541AD" w:rsidRDefault="002541AD">
            <w:pPr>
              <w:rPr>
                <w:rFonts w:ascii="Times New Roman" w:hAnsi="Times New Roman"/>
                <w:sz w:val="20"/>
                <w:szCs w:val="20"/>
              </w:rPr>
            </w:pPr>
          </w:p>
        </w:tc>
        <w:tc>
          <w:tcPr>
            <w:tcW w:w="1250" w:type="pct"/>
            <w:shd w:val="clear" w:color="auto" w:fill="auto"/>
            <w:vAlign w:val="center"/>
          </w:tcPr>
          <w:p w14:paraId="3750EFBC" w14:textId="77777777" w:rsidR="002541AD" w:rsidRDefault="002541AD">
            <w:pPr>
              <w:rPr>
                <w:rFonts w:ascii="Times New Roman" w:hAnsi="Times New Roman"/>
                <w:sz w:val="20"/>
                <w:szCs w:val="20"/>
              </w:rPr>
            </w:pPr>
          </w:p>
        </w:tc>
      </w:tr>
      <w:tr w:rsidR="002541AD" w14:paraId="3750EFC1"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EFBE"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A1" wp14:editId="3750F8A2">
                  <wp:extent cx="304800" cy="304800"/>
                  <wp:effectExtent l="0" t="0" r="0" b="0"/>
                  <wp:docPr id="67" name="图片 103"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3"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FB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FC0"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29</w:t>
            </w:r>
          </w:p>
        </w:tc>
      </w:tr>
    </w:tbl>
    <w:p w14:paraId="3750EFC2" w14:textId="77777777" w:rsidR="002541AD" w:rsidRDefault="002541AD">
      <w:pPr>
        <w:spacing w:line="288" w:lineRule="auto"/>
        <w:rPr>
          <w:rFonts w:ascii="Times New Roman" w:hAnsi="Times New Roman"/>
          <w:sz w:val="18"/>
          <w:szCs w:val="18"/>
        </w:rPr>
      </w:pPr>
    </w:p>
    <w:p w14:paraId="3750EFC3" w14:textId="77777777" w:rsidR="002541AD" w:rsidRDefault="00901AA6">
      <w:r>
        <w:rPr>
          <w:rFonts w:ascii="Times New Roman" w:hAnsi="Times New Roman"/>
          <w:sz w:val="18"/>
          <w:szCs w:val="18"/>
        </w:rPr>
        <w:pict w14:anchorId="3750F8A3">
          <v:rect id="_x0000_i1055" style="width:415.3pt;height:1.5pt" o:hralign="center" o:hrstd="t" o:hr="t" fillcolor="#a0a0a0" stroked="f"/>
        </w:pict>
      </w:r>
    </w:p>
    <w:p w14:paraId="3750EFC4" w14:textId="77777777" w:rsidR="002541AD" w:rsidRDefault="00901AA6">
      <w:pPr>
        <w:spacing w:line="288" w:lineRule="auto"/>
        <w:jc w:val="right"/>
        <w:rPr>
          <w:rFonts w:ascii="Times New Roman" w:hAnsi="Times New Roman"/>
          <w:sz w:val="16"/>
          <w:szCs w:val="16"/>
        </w:rPr>
      </w:pPr>
      <w:hyperlink r:id="rId58" w:anchor="s2CABEAF4222C52B4A34547BF538A8C27" w:history="1">
        <w:r>
          <w:rPr>
            <w:rStyle w:val="a5"/>
            <w:rFonts w:ascii="Arial" w:eastAsia="宋体" w:hAnsi="Arial" w:cs="Arial"/>
            <w:b/>
            <w:bCs/>
            <w:sz w:val="16"/>
            <w:szCs w:val="16"/>
          </w:rPr>
          <w:t>Table of Contents</w:t>
        </w:r>
      </w:hyperlink>
    </w:p>
    <w:p w14:paraId="3750EFC5" w14:textId="77777777" w:rsidR="002541AD" w:rsidRDefault="002541AD">
      <w:pPr>
        <w:spacing w:line="288" w:lineRule="auto"/>
        <w:jc w:val="right"/>
        <w:rPr>
          <w:rFonts w:ascii="Times New Roman" w:hAnsi="Times New Roman"/>
          <w:sz w:val="18"/>
          <w:szCs w:val="18"/>
        </w:rPr>
      </w:pPr>
    </w:p>
    <w:p w14:paraId="3750EFC6" w14:textId="77777777" w:rsidR="002541AD" w:rsidRDefault="002541AD">
      <w:pPr>
        <w:rPr>
          <w:rFonts w:ascii="Times New Roman" w:hAnsi="Times New Roman"/>
          <w:sz w:val="20"/>
          <w:szCs w:val="20"/>
        </w:rPr>
      </w:pPr>
    </w:p>
    <w:p w14:paraId="3750EFC7"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 xml:space="preserve">PROGRAMMABLE SOLUTIONS GROUP </w:t>
      </w:r>
    </w:p>
    <w:p w14:paraId="3750EFC8"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PSG offers programmable </w:t>
      </w:r>
      <w:r>
        <w:rPr>
          <w:rFonts w:ascii="Arial" w:eastAsia="宋体" w:hAnsi="Arial" w:cs="Arial"/>
          <w:color w:val="333333"/>
          <w:sz w:val="18"/>
          <w:szCs w:val="18"/>
        </w:rPr>
        <w:t>semiconductors, primarily FPGAs, structured ASICs, and related products, for a broad range of market segments, including communications, data center, industrial, and military. The PSG product portfolio delivers FPGA acceleration in tandem with Intel microp</w:t>
      </w:r>
      <w:r>
        <w:rPr>
          <w:rFonts w:ascii="Arial" w:eastAsia="宋体" w:hAnsi="Arial" w:cs="Arial"/>
          <w:color w:val="333333"/>
          <w:sz w:val="18"/>
          <w:szCs w:val="18"/>
        </w:rPr>
        <w:t>rocessors and enables Intel to combine the benefits of its broad portfolio of technologies to allow more flexibility for systems to operate with increased efficiency and higher performance.</w:t>
      </w:r>
    </w:p>
    <w:tbl>
      <w:tblPr>
        <w:tblW w:w="13900" w:type="dxa"/>
        <w:tblCellMar>
          <w:left w:w="0" w:type="dxa"/>
          <w:right w:w="0" w:type="dxa"/>
        </w:tblCellMar>
        <w:tblLook w:val="04A0" w:firstRow="1" w:lastRow="0" w:firstColumn="1" w:lastColumn="0" w:noHBand="0" w:noVBand="1"/>
      </w:tblPr>
      <w:tblGrid>
        <w:gridCol w:w="521"/>
        <w:gridCol w:w="6098"/>
        <w:gridCol w:w="1244"/>
        <w:gridCol w:w="6037"/>
      </w:tblGrid>
      <w:tr w:rsidR="002541AD" w14:paraId="3750EFCA" w14:textId="77777777">
        <w:tc>
          <w:tcPr>
            <w:tcW w:w="0" w:type="auto"/>
            <w:gridSpan w:val="4"/>
            <w:shd w:val="clear" w:color="auto" w:fill="auto"/>
            <w:vAlign w:val="center"/>
          </w:tcPr>
          <w:p w14:paraId="3750EFC9" w14:textId="77777777" w:rsidR="002541AD" w:rsidRDefault="002541AD">
            <w:pPr>
              <w:rPr>
                <w:rFonts w:ascii="Times New Roman" w:hAnsi="Times New Roman"/>
                <w:sz w:val="20"/>
                <w:szCs w:val="20"/>
              </w:rPr>
            </w:pPr>
          </w:p>
        </w:tc>
      </w:tr>
      <w:tr w:rsidR="002541AD" w14:paraId="3750EFCF" w14:textId="77777777">
        <w:tc>
          <w:tcPr>
            <w:tcW w:w="520" w:type="dxa"/>
            <w:shd w:val="clear" w:color="auto" w:fill="auto"/>
            <w:vAlign w:val="center"/>
          </w:tcPr>
          <w:p w14:paraId="3750EFCB" w14:textId="77777777" w:rsidR="002541AD" w:rsidRDefault="002541AD">
            <w:pPr>
              <w:rPr>
                <w:rFonts w:ascii="Times New Roman" w:hAnsi="Times New Roman"/>
                <w:sz w:val="20"/>
                <w:szCs w:val="20"/>
              </w:rPr>
            </w:pPr>
          </w:p>
        </w:tc>
        <w:tc>
          <w:tcPr>
            <w:tcW w:w="6080" w:type="dxa"/>
            <w:shd w:val="clear" w:color="auto" w:fill="auto"/>
            <w:vAlign w:val="center"/>
          </w:tcPr>
          <w:p w14:paraId="3750EFCC" w14:textId="77777777" w:rsidR="002541AD" w:rsidRDefault="002541AD">
            <w:pPr>
              <w:rPr>
                <w:rFonts w:ascii="Times New Roman" w:hAnsi="Times New Roman"/>
                <w:sz w:val="20"/>
                <w:szCs w:val="20"/>
              </w:rPr>
            </w:pPr>
          </w:p>
        </w:tc>
        <w:tc>
          <w:tcPr>
            <w:tcW w:w="1240" w:type="dxa"/>
            <w:shd w:val="clear" w:color="auto" w:fill="auto"/>
            <w:vAlign w:val="center"/>
          </w:tcPr>
          <w:p w14:paraId="3750EFCD" w14:textId="77777777" w:rsidR="002541AD" w:rsidRDefault="002541AD">
            <w:pPr>
              <w:rPr>
                <w:rFonts w:ascii="Times New Roman" w:hAnsi="Times New Roman"/>
                <w:sz w:val="20"/>
                <w:szCs w:val="20"/>
              </w:rPr>
            </w:pPr>
          </w:p>
        </w:tc>
        <w:tc>
          <w:tcPr>
            <w:tcW w:w="6020" w:type="dxa"/>
            <w:shd w:val="clear" w:color="auto" w:fill="auto"/>
            <w:vAlign w:val="center"/>
          </w:tcPr>
          <w:p w14:paraId="3750EFCE" w14:textId="77777777" w:rsidR="002541AD" w:rsidRDefault="002541AD">
            <w:pPr>
              <w:rPr>
                <w:rFonts w:ascii="Times New Roman" w:hAnsi="Times New Roman"/>
                <w:sz w:val="20"/>
                <w:szCs w:val="20"/>
              </w:rPr>
            </w:pPr>
          </w:p>
        </w:tc>
      </w:tr>
      <w:tr w:rsidR="002541AD" w14:paraId="3750EFD4" w14:textId="77777777">
        <w:tc>
          <w:tcPr>
            <w:tcW w:w="0" w:type="auto"/>
            <w:shd w:val="clear" w:color="auto" w:fill="auto"/>
            <w:tcMar>
              <w:top w:w="40" w:type="dxa"/>
              <w:left w:w="40" w:type="dxa"/>
              <w:bottom w:w="40" w:type="dxa"/>
              <w:right w:w="40" w:type="dxa"/>
            </w:tcMar>
            <w:vAlign w:val="bottom"/>
          </w:tcPr>
          <w:p w14:paraId="3750EFD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tcPr>
          <w:p w14:paraId="3750EFD1" w14:textId="77777777" w:rsidR="002541AD" w:rsidRDefault="00901AA6">
            <w:pPr>
              <w:jc w:val="center"/>
              <w:textAlignment w:val="top"/>
              <w:rPr>
                <w:rFonts w:ascii="Times New Roman" w:hAnsi="Times New Roman"/>
                <w:sz w:val="20"/>
                <w:szCs w:val="20"/>
              </w:rPr>
            </w:pPr>
            <w:r>
              <w:rPr>
                <w:rFonts w:ascii="Arial" w:eastAsia="宋体" w:hAnsi="Arial" w:cs="Arial"/>
                <w:b/>
                <w:bCs/>
                <w:color w:val="0071C5"/>
                <w:sz w:val="20"/>
                <w:szCs w:val="20"/>
              </w:rPr>
              <w:t>PSG REVENUE $B</w:t>
            </w:r>
          </w:p>
        </w:tc>
        <w:tc>
          <w:tcPr>
            <w:tcW w:w="0" w:type="auto"/>
            <w:shd w:val="clear" w:color="auto" w:fill="auto"/>
            <w:tcMar>
              <w:top w:w="40" w:type="dxa"/>
              <w:left w:w="40" w:type="dxa"/>
              <w:bottom w:w="40" w:type="dxa"/>
              <w:right w:w="40" w:type="dxa"/>
            </w:tcMar>
            <w:vAlign w:val="bottom"/>
          </w:tcPr>
          <w:p w14:paraId="3750EFD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tcPr>
          <w:p w14:paraId="3750EFD3" w14:textId="77777777" w:rsidR="002541AD" w:rsidRDefault="00901AA6">
            <w:pPr>
              <w:jc w:val="center"/>
              <w:textAlignment w:val="top"/>
              <w:rPr>
                <w:rFonts w:ascii="Times New Roman" w:hAnsi="Times New Roman"/>
                <w:sz w:val="20"/>
                <w:szCs w:val="20"/>
              </w:rPr>
            </w:pPr>
            <w:r>
              <w:rPr>
                <w:rFonts w:ascii="Arial" w:eastAsia="宋体" w:hAnsi="Arial" w:cs="Arial"/>
                <w:b/>
                <w:bCs/>
                <w:color w:val="0071C5"/>
                <w:sz w:val="20"/>
                <w:szCs w:val="20"/>
              </w:rPr>
              <w:t>PSG OPERATING INCOME $B</w:t>
            </w:r>
          </w:p>
        </w:tc>
      </w:tr>
    </w:tbl>
    <w:p w14:paraId="3750EFD5" w14:textId="77777777" w:rsidR="002541AD" w:rsidRDefault="00901AA6">
      <w:pPr>
        <w:spacing w:line="288" w:lineRule="auto"/>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Viewer11_files/psg_revenue.jpg"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3750F8A4" wp14:editId="3750F8A5">
            <wp:extent cx="304800" cy="304800"/>
            <wp:effectExtent l="0" t="0" r="0" b="0"/>
            <wp:docPr id="72" name="图片 105"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5" descr="IMG_29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/INTEL/./Inline XBRL Viewer11_files/psg_opinc.jpg"</w:instrText>
      </w:r>
      <w:r>
        <w:rPr>
          <w:rFonts w:ascii="Times New Roman" w:eastAsia="宋体" w:hAnsi="Times New Roman"/>
          <w:sz w:val="20"/>
          <w:szCs w:val="20"/>
        </w:rPr>
        <w:instrText xml:space="preserve">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3750F8A6" wp14:editId="3750F8A7">
            <wp:extent cx="304800" cy="304800"/>
            <wp:effectExtent l="0" t="0" r="0" b="0"/>
            <wp:docPr id="66" name="图片 106"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6" descr="IMG_29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5000" w:type="pct"/>
        <w:tblCellMar>
          <w:left w:w="0" w:type="dxa"/>
          <w:right w:w="0" w:type="dxa"/>
        </w:tblCellMar>
        <w:tblLook w:val="04A0" w:firstRow="1" w:lastRow="0" w:firstColumn="1" w:lastColumn="0" w:noHBand="0" w:noVBand="1"/>
      </w:tblPr>
      <w:tblGrid>
        <w:gridCol w:w="8306"/>
      </w:tblGrid>
      <w:tr w:rsidR="002541AD" w14:paraId="3750EFD7" w14:textId="77777777">
        <w:tc>
          <w:tcPr>
            <w:tcW w:w="0" w:type="auto"/>
            <w:shd w:val="clear" w:color="auto" w:fill="auto"/>
            <w:vAlign w:val="center"/>
          </w:tcPr>
          <w:p w14:paraId="3750EFD6" w14:textId="77777777" w:rsidR="002541AD" w:rsidRDefault="002541AD">
            <w:pPr>
              <w:rPr>
                <w:rFonts w:ascii="Times New Roman" w:hAnsi="Times New Roman"/>
                <w:sz w:val="20"/>
                <w:szCs w:val="20"/>
              </w:rPr>
            </w:pPr>
          </w:p>
        </w:tc>
      </w:tr>
      <w:tr w:rsidR="002541AD" w14:paraId="3750EFD9" w14:textId="77777777">
        <w:tc>
          <w:tcPr>
            <w:tcW w:w="5000" w:type="pct"/>
            <w:shd w:val="clear" w:color="auto" w:fill="auto"/>
            <w:vAlign w:val="center"/>
          </w:tcPr>
          <w:p w14:paraId="3750EFD8" w14:textId="77777777" w:rsidR="002541AD" w:rsidRDefault="002541AD">
            <w:pPr>
              <w:rPr>
                <w:rFonts w:ascii="Times New Roman" w:hAnsi="Times New Roman"/>
                <w:sz w:val="20"/>
                <w:szCs w:val="20"/>
              </w:rPr>
            </w:pPr>
          </w:p>
        </w:tc>
      </w:tr>
      <w:tr w:rsidR="002541AD" w14:paraId="3750EFDB"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3750EFDA" w14:textId="77777777" w:rsidR="002541AD" w:rsidRDefault="00901AA6">
            <w:pPr>
              <w:textAlignment w:val="bottom"/>
              <w:rPr>
                <w:rFonts w:ascii="Times New Roman" w:hAnsi="Times New Roman"/>
                <w:sz w:val="20"/>
                <w:szCs w:val="20"/>
              </w:rPr>
            </w:pPr>
            <w:r>
              <w:rPr>
                <w:rFonts w:ascii="Arial" w:eastAsia="宋体" w:hAnsi="Arial" w:cs="Arial"/>
                <w:b/>
                <w:bCs/>
                <w:color w:val="0071C5"/>
                <w:sz w:val="20"/>
                <w:szCs w:val="20"/>
              </w:rPr>
              <w:t>REVENUE AND OPERATING INCOME SUMMARY</w:t>
            </w:r>
          </w:p>
        </w:tc>
      </w:tr>
    </w:tbl>
    <w:p w14:paraId="3750EFDC" w14:textId="77777777" w:rsidR="002541AD" w:rsidRDefault="002541AD">
      <w:pPr>
        <w:rPr>
          <w:vanish/>
        </w:rPr>
      </w:pPr>
    </w:p>
    <w:tbl>
      <w:tblPr>
        <w:tblW w:w="5000" w:type="pct"/>
        <w:tblCellMar>
          <w:left w:w="0" w:type="dxa"/>
          <w:right w:w="0" w:type="dxa"/>
        </w:tblCellMar>
        <w:tblLook w:val="04A0" w:firstRow="1" w:lastRow="0" w:firstColumn="1" w:lastColumn="0" w:noHBand="0" w:noVBand="1"/>
      </w:tblPr>
      <w:tblGrid>
        <w:gridCol w:w="8306"/>
      </w:tblGrid>
      <w:tr w:rsidR="002541AD" w14:paraId="3750EFDE" w14:textId="77777777">
        <w:tc>
          <w:tcPr>
            <w:tcW w:w="0" w:type="auto"/>
            <w:shd w:val="clear" w:color="auto" w:fill="auto"/>
            <w:vAlign w:val="center"/>
          </w:tcPr>
          <w:p w14:paraId="3750EFDD" w14:textId="77777777" w:rsidR="002541AD" w:rsidRDefault="002541AD">
            <w:pPr>
              <w:rPr>
                <w:rFonts w:ascii="Times New Roman" w:hAnsi="Times New Roman"/>
                <w:sz w:val="20"/>
                <w:szCs w:val="20"/>
              </w:rPr>
            </w:pPr>
          </w:p>
        </w:tc>
      </w:tr>
      <w:tr w:rsidR="002541AD" w14:paraId="3750EFE0" w14:textId="77777777">
        <w:tc>
          <w:tcPr>
            <w:tcW w:w="5000" w:type="pct"/>
            <w:shd w:val="clear" w:color="auto" w:fill="auto"/>
            <w:vAlign w:val="center"/>
          </w:tcPr>
          <w:p w14:paraId="3750EFDF" w14:textId="77777777" w:rsidR="002541AD" w:rsidRDefault="002541AD">
            <w:pPr>
              <w:rPr>
                <w:rFonts w:ascii="Times New Roman" w:hAnsi="Times New Roman"/>
                <w:sz w:val="20"/>
                <w:szCs w:val="20"/>
              </w:rPr>
            </w:pPr>
          </w:p>
        </w:tc>
      </w:tr>
      <w:tr w:rsidR="002541AD" w14:paraId="3750EFE2"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3750EFE1" w14:textId="77777777" w:rsidR="002541AD" w:rsidRDefault="00901AA6">
            <w:pPr>
              <w:textAlignment w:val="bottom"/>
              <w:rPr>
                <w:rFonts w:ascii="Times New Roman" w:hAnsi="Times New Roman"/>
                <w:sz w:val="20"/>
                <w:szCs w:val="20"/>
              </w:rPr>
            </w:pPr>
            <w:r>
              <w:rPr>
                <w:rFonts w:ascii="Arial" w:eastAsia="宋体" w:hAnsi="Arial" w:cs="Arial"/>
                <w:b/>
                <w:bCs/>
                <w:color w:val="333333"/>
                <w:sz w:val="20"/>
                <w:szCs w:val="20"/>
              </w:rPr>
              <w:t>Q1 2020 vs. Q1 2019</w:t>
            </w:r>
          </w:p>
        </w:tc>
      </w:tr>
    </w:tbl>
    <w:p w14:paraId="3750EFE3"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Revenue was $519 million, up $33 million due to growth in the cloud and enterprise market segment, partially offset by weaker embedded and communications. PSG experienced growth in advanced products. Operating income was $97 million, up $8 million. </w:t>
      </w:r>
    </w:p>
    <w:p w14:paraId="3750EFE4" w14:textId="77777777" w:rsidR="002541AD" w:rsidRDefault="002541AD">
      <w:pPr>
        <w:spacing w:line="288" w:lineRule="auto"/>
        <w:rPr>
          <w:rFonts w:ascii="Times New Roman" w:hAnsi="Times New Roman"/>
          <w:sz w:val="18"/>
          <w:szCs w:val="18"/>
        </w:rPr>
      </w:pPr>
    </w:p>
    <w:p w14:paraId="3750EFE5" w14:textId="77777777" w:rsidR="002541AD" w:rsidRDefault="002541AD">
      <w:pPr>
        <w:spacing w:line="288" w:lineRule="auto"/>
        <w:rPr>
          <w:rFonts w:ascii="Times New Roman" w:hAnsi="Times New Roman"/>
          <w:sz w:val="18"/>
          <w:szCs w:val="18"/>
        </w:rPr>
      </w:pPr>
    </w:p>
    <w:p w14:paraId="3750EFE6" w14:textId="77777777" w:rsidR="002541AD" w:rsidRDefault="002541AD">
      <w:pPr>
        <w:spacing w:line="288" w:lineRule="auto"/>
        <w:rPr>
          <w:rFonts w:ascii="Times New Roman" w:hAnsi="Times New Roman"/>
          <w:sz w:val="18"/>
          <w:szCs w:val="18"/>
        </w:rPr>
      </w:pPr>
    </w:p>
    <w:p w14:paraId="3750EFE7" w14:textId="77777777" w:rsidR="002541AD" w:rsidRDefault="002541AD">
      <w:pPr>
        <w:spacing w:line="288" w:lineRule="auto"/>
        <w:rPr>
          <w:rFonts w:ascii="Times New Roman" w:hAnsi="Times New Roman"/>
          <w:sz w:val="18"/>
          <w:szCs w:val="18"/>
        </w:rPr>
      </w:pPr>
    </w:p>
    <w:p w14:paraId="3750EFE8"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EFEA" w14:textId="77777777">
        <w:tc>
          <w:tcPr>
            <w:tcW w:w="0" w:type="auto"/>
            <w:gridSpan w:val="3"/>
            <w:shd w:val="clear" w:color="auto" w:fill="auto"/>
            <w:vAlign w:val="center"/>
          </w:tcPr>
          <w:p w14:paraId="3750EFE9" w14:textId="77777777" w:rsidR="002541AD" w:rsidRDefault="002541AD">
            <w:pPr>
              <w:rPr>
                <w:rFonts w:ascii="Times New Roman" w:hAnsi="Times New Roman"/>
                <w:sz w:val="20"/>
                <w:szCs w:val="20"/>
              </w:rPr>
            </w:pPr>
          </w:p>
        </w:tc>
      </w:tr>
      <w:tr w:rsidR="002541AD" w14:paraId="3750EFEE" w14:textId="77777777">
        <w:tc>
          <w:tcPr>
            <w:tcW w:w="1550" w:type="pct"/>
            <w:shd w:val="clear" w:color="auto" w:fill="auto"/>
            <w:vAlign w:val="center"/>
          </w:tcPr>
          <w:p w14:paraId="3750EFEB" w14:textId="77777777" w:rsidR="002541AD" w:rsidRDefault="002541AD">
            <w:pPr>
              <w:rPr>
                <w:rFonts w:ascii="Times New Roman" w:hAnsi="Times New Roman"/>
                <w:sz w:val="20"/>
                <w:szCs w:val="20"/>
              </w:rPr>
            </w:pPr>
          </w:p>
        </w:tc>
        <w:tc>
          <w:tcPr>
            <w:tcW w:w="2200" w:type="pct"/>
            <w:shd w:val="clear" w:color="auto" w:fill="auto"/>
            <w:vAlign w:val="center"/>
          </w:tcPr>
          <w:p w14:paraId="3750EFEC" w14:textId="77777777" w:rsidR="002541AD" w:rsidRDefault="002541AD">
            <w:pPr>
              <w:rPr>
                <w:rFonts w:ascii="Times New Roman" w:hAnsi="Times New Roman"/>
                <w:sz w:val="20"/>
                <w:szCs w:val="20"/>
              </w:rPr>
            </w:pPr>
          </w:p>
        </w:tc>
        <w:tc>
          <w:tcPr>
            <w:tcW w:w="1250" w:type="pct"/>
            <w:shd w:val="clear" w:color="auto" w:fill="auto"/>
            <w:vAlign w:val="center"/>
          </w:tcPr>
          <w:p w14:paraId="3750EFED" w14:textId="77777777" w:rsidR="002541AD" w:rsidRDefault="002541AD">
            <w:pPr>
              <w:rPr>
                <w:rFonts w:ascii="Times New Roman" w:hAnsi="Times New Roman"/>
                <w:sz w:val="20"/>
                <w:szCs w:val="20"/>
              </w:rPr>
            </w:pPr>
          </w:p>
        </w:tc>
      </w:tr>
      <w:tr w:rsidR="002541AD" w14:paraId="3750EFF2"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EFEF"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A8" wp14:editId="3750F8A9">
                  <wp:extent cx="304800" cy="304800"/>
                  <wp:effectExtent l="0" t="0" r="0" b="0"/>
                  <wp:docPr id="96" name="图片 107"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07"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FF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EFF1"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30</w:t>
            </w:r>
          </w:p>
        </w:tc>
      </w:tr>
    </w:tbl>
    <w:p w14:paraId="3750EFF3" w14:textId="77777777" w:rsidR="002541AD" w:rsidRDefault="002541AD">
      <w:pPr>
        <w:spacing w:line="288" w:lineRule="auto"/>
        <w:rPr>
          <w:rFonts w:ascii="Times New Roman" w:hAnsi="Times New Roman"/>
          <w:sz w:val="18"/>
          <w:szCs w:val="18"/>
        </w:rPr>
      </w:pPr>
    </w:p>
    <w:p w14:paraId="3750EFF4" w14:textId="77777777" w:rsidR="002541AD" w:rsidRDefault="00901AA6">
      <w:r>
        <w:rPr>
          <w:rFonts w:ascii="Times New Roman" w:hAnsi="Times New Roman"/>
          <w:sz w:val="18"/>
          <w:szCs w:val="18"/>
        </w:rPr>
        <w:pict w14:anchorId="3750F8AA">
          <v:rect id="_x0000_i1056" style="width:415.3pt;height:1.5pt" o:hralign="center" o:hrstd="t" o:hr="t" fillcolor="#a0a0a0" stroked="f"/>
        </w:pict>
      </w:r>
    </w:p>
    <w:p w14:paraId="3750EFF5" w14:textId="77777777" w:rsidR="002541AD" w:rsidRDefault="00901AA6">
      <w:pPr>
        <w:spacing w:line="288" w:lineRule="auto"/>
        <w:jc w:val="right"/>
        <w:rPr>
          <w:rFonts w:ascii="Times New Roman" w:hAnsi="Times New Roman"/>
          <w:sz w:val="16"/>
          <w:szCs w:val="16"/>
        </w:rPr>
      </w:pPr>
      <w:hyperlink r:id="rId59" w:anchor="s2CABEAF4222C52B4A34547BF538A8C27" w:history="1">
        <w:r>
          <w:rPr>
            <w:rStyle w:val="a5"/>
            <w:rFonts w:ascii="Arial" w:eastAsia="宋体" w:hAnsi="Arial" w:cs="Arial"/>
            <w:b/>
            <w:bCs/>
            <w:sz w:val="16"/>
            <w:szCs w:val="16"/>
          </w:rPr>
          <w:t>Table of Contents</w:t>
        </w:r>
      </w:hyperlink>
    </w:p>
    <w:p w14:paraId="3750EFF6" w14:textId="77777777" w:rsidR="002541AD" w:rsidRDefault="002541AD">
      <w:pPr>
        <w:spacing w:line="288" w:lineRule="auto"/>
        <w:jc w:val="right"/>
        <w:rPr>
          <w:rFonts w:ascii="Times New Roman" w:hAnsi="Times New Roman"/>
          <w:sz w:val="18"/>
          <w:szCs w:val="18"/>
        </w:rPr>
      </w:pPr>
    </w:p>
    <w:p w14:paraId="3750EFF7" w14:textId="77777777" w:rsidR="002541AD" w:rsidRDefault="002541AD">
      <w:pPr>
        <w:rPr>
          <w:rFonts w:ascii="Times New Roman" w:hAnsi="Times New Roman"/>
          <w:sz w:val="20"/>
          <w:szCs w:val="20"/>
        </w:rPr>
      </w:pPr>
    </w:p>
    <w:p w14:paraId="3750EFF8"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 xml:space="preserve">CLIENT COMPUTING GROUP </w:t>
      </w:r>
    </w:p>
    <w:p w14:paraId="3750EFF9"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As we evolve to deliver leading end-to-end </w:t>
      </w:r>
      <w:r>
        <w:rPr>
          <w:rFonts w:ascii="Arial" w:eastAsia="宋体" w:hAnsi="Arial" w:cs="Arial"/>
          <w:color w:val="333333"/>
          <w:sz w:val="18"/>
          <w:szCs w:val="18"/>
        </w:rPr>
        <w:t>products across architectures and workloads for the data explosion, CCG’s contribution is the human touchpoint of this new data-centric era—the PC. As the largest business unit at Intel, CCG deploys platforms that connect people to data, allowing each pers</w:t>
      </w:r>
      <w:r>
        <w:rPr>
          <w:rFonts w:ascii="Arial" w:eastAsia="宋体" w:hAnsi="Arial" w:cs="Arial"/>
          <w:color w:val="333333"/>
          <w:sz w:val="18"/>
          <w:szCs w:val="18"/>
        </w:rPr>
        <w:t xml:space="preserve">on to focus, create, and engage in ways that unlock their individual potential. The PC market remains a critical facet of our business, providing an important source of IP, scale, and cash flow. Our mission is to continue to deliver leadership products in </w:t>
      </w:r>
      <w:r>
        <w:rPr>
          <w:rFonts w:ascii="Arial" w:eastAsia="宋体" w:hAnsi="Arial" w:cs="Arial"/>
          <w:color w:val="333333"/>
          <w:sz w:val="18"/>
          <w:szCs w:val="18"/>
        </w:rPr>
        <w:t>our PC business as well as our adjacent businesses. The PC is more essential than ever before with more people working and learning from home due to COVID-19-related shelter-in-place orders. We are dedicated to helping people around the world overcome this</w:t>
      </w:r>
      <w:r>
        <w:rPr>
          <w:rFonts w:ascii="Arial" w:eastAsia="宋体" w:hAnsi="Arial" w:cs="Arial"/>
          <w:color w:val="333333"/>
          <w:sz w:val="18"/>
          <w:szCs w:val="18"/>
        </w:rPr>
        <w:t xml:space="preserve"> crisis.</w:t>
      </w:r>
    </w:p>
    <w:tbl>
      <w:tblPr>
        <w:tblW w:w="13900" w:type="dxa"/>
        <w:tblCellMar>
          <w:left w:w="0" w:type="dxa"/>
          <w:right w:w="0" w:type="dxa"/>
        </w:tblCellMar>
        <w:tblLook w:val="04A0" w:firstRow="1" w:lastRow="0" w:firstColumn="1" w:lastColumn="0" w:noHBand="0" w:noVBand="1"/>
      </w:tblPr>
      <w:tblGrid>
        <w:gridCol w:w="521"/>
        <w:gridCol w:w="6098"/>
        <w:gridCol w:w="1244"/>
        <w:gridCol w:w="6037"/>
      </w:tblGrid>
      <w:tr w:rsidR="002541AD" w14:paraId="3750EFFB" w14:textId="77777777">
        <w:tc>
          <w:tcPr>
            <w:tcW w:w="0" w:type="auto"/>
            <w:gridSpan w:val="4"/>
            <w:shd w:val="clear" w:color="auto" w:fill="auto"/>
            <w:vAlign w:val="center"/>
          </w:tcPr>
          <w:p w14:paraId="3750EFFA" w14:textId="77777777" w:rsidR="002541AD" w:rsidRDefault="002541AD">
            <w:pPr>
              <w:rPr>
                <w:rFonts w:ascii="Times New Roman" w:hAnsi="Times New Roman"/>
                <w:sz w:val="20"/>
                <w:szCs w:val="20"/>
              </w:rPr>
            </w:pPr>
          </w:p>
        </w:tc>
      </w:tr>
      <w:tr w:rsidR="002541AD" w14:paraId="3750F000" w14:textId="77777777">
        <w:tc>
          <w:tcPr>
            <w:tcW w:w="520" w:type="dxa"/>
            <w:shd w:val="clear" w:color="auto" w:fill="auto"/>
            <w:vAlign w:val="center"/>
          </w:tcPr>
          <w:p w14:paraId="3750EFFC" w14:textId="77777777" w:rsidR="002541AD" w:rsidRDefault="002541AD">
            <w:pPr>
              <w:rPr>
                <w:rFonts w:ascii="Times New Roman" w:hAnsi="Times New Roman"/>
                <w:sz w:val="20"/>
                <w:szCs w:val="20"/>
              </w:rPr>
            </w:pPr>
          </w:p>
        </w:tc>
        <w:tc>
          <w:tcPr>
            <w:tcW w:w="6080" w:type="dxa"/>
            <w:shd w:val="clear" w:color="auto" w:fill="auto"/>
            <w:vAlign w:val="center"/>
          </w:tcPr>
          <w:p w14:paraId="3750EFFD" w14:textId="77777777" w:rsidR="002541AD" w:rsidRDefault="002541AD">
            <w:pPr>
              <w:rPr>
                <w:rFonts w:ascii="Times New Roman" w:hAnsi="Times New Roman"/>
                <w:sz w:val="20"/>
                <w:szCs w:val="20"/>
              </w:rPr>
            </w:pPr>
          </w:p>
        </w:tc>
        <w:tc>
          <w:tcPr>
            <w:tcW w:w="1240" w:type="dxa"/>
            <w:shd w:val="clear" w:color="auto" w:fill="auto"/>
            <w:vAlign w:val="center"/>
          </w:tcPr>
          <w:p w14:paraId="3750EFFE" w14:textId="77777777" w:rsidR="002541AD" w:rsidRDefault="002541AD">
            <w:pPr>
              <w:rPr>
                <w:rFonts w:ascii="Times New Roman" w:hAnsi="Times New Roman"/>
                <w:sz w:val="20"/>
                <w:szCs w:val="20"/>
              </w:rPr>
            </w:pPr>
          </w:p>
        </w:tc>
        <w:tc>
          <w:tcPr>
            <w:tcW w:w="6020" w:type="dxa"/>
            <w:shd w:val="clear" w:color="auto" w:fill="auto"/>
            <w:vAlign w:val="center"/>
          </w:tcPr>
          <w:p w14:paraId="3750EFFF" w14:textId="77777777" w:rsidR="002541AD" w:rsidRDefault="002541AD">
            <w:pPr>
              <w:rPr>
                <w:rFonts w:ascii="Times New Roman" w:hAnsi="Times New Roman"/>
                <w:sz w:val="20"/>
                <w:szCs w:val="20"/>
              </w:rPr>
            </w:pPr>
          </w:p>
        </w:tc>
      </w:tr>
      <w:tr w:rsidR="002541AD" w14:paraId="3750F005" w14:textId="77777777">
        <w:tc>
          <w:tcPr>
            <w:tcW w:w="0" w:type="auto"/>
            <w:shd w:val="clear" w:color="auto" w:fill="auto"/>
            <w:tcMar>
              <w:top w:w="40" w:type="dxa"/>
              <w:left w:w="40" w:type="dxa"/>
              <w:bottom w:w="40" w:type="dxa"/>
              <w:right w:w="40" w:type="dxa"/>
            </w:tcMar>
            <w:vAlign w:val="bottom"/>
          </w:tcPr>
          <w:p w14:paraId="3750F00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3750F002" w14:textId="77777777" w:rsidR="002541AD" w:rsidRDefault="00901AA6">
            <w:pPr>
              <w:jc w:val="center"/>
              <w:textAlignment w:val="bottom"/>
              <w:rPr>
                <w:rFonts w:ascii="Times New Roman" w:hAnsi="Times New Roman"/>
                <w:sz w:val="20"/>
                <w:szCs w:val="20"/>
              </w:rPr>
            </w:pPr>
            <w:r>
              <w:rPr>
                <w:rFonts w:ascii="Arial" w:eastAsia="宋体" w:hAnsi="Arial" w:cs="Arial"/>
                <w:b/>
                <w:bCs/>
                <w:color w:val="0071C5"/>
                <w:sz w:val="20"/>
                <w:szCs w:val="20"/>
              </w:rPr>
              <w:t>CCG REVENUE $B</w:t>
            </w:r>
          </w:p>
        </w:tc>
        <w:tc>
          <w:tcPr>
            <w:tcW w:w="0" w:type="auto"/>
            <w:shd w:val="clear" w:color="auto" w:fill="auto"/>
            <w:tcMar>
              <w:top w:w="40" w:type="dxa"/>
              <w:left w:w="40" w:type="dxa"/>
              <w:bottom w:w="40" w:type="dxa"/>
              <w:right w:w="40" w:type="dxa"/>
            </w:tcMar>
            <w:vAlign w:val="bottom"/>
          </w:tcPr>
          <w:p w14:paraId="3750F00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3750F004" w14:textId="77777777" w:rsidR="002541AD" w:rsidRDefault="00901AA6">
            <w:pPr>
              <w:jc w:val="center"/>
              <w:textAlignment w:val="bottom"/>
              <w:rPr>
                <w:rFonts w:ascii="Times New Roman" w:hAnsi="Times New Roman"/>
                <w:sz w:val="20"/>
                <w:szCs w:val="20"/>
              </w:rPr>
            </w:pPr>
            <w:r>
              <w:rPr>
                <w:rFonts w:ascii="Arial" w:eastAsia="宋体" w:hAnsi="Arial" w:cs="Arial"/>
                <w:b/>
                <w:bCs/>
                <w:color w:val="0071C5"/>
                <w:sz w:val="20"/>
                <w:szCs w:val="20"/>
              </w:rPr>
              <w:t>CCG OPERATING INCOME $B</w:t>
            </w:r>
          </w:p>
        </w:tc>
      </w:tr>
    </w:tbl>
    <w:p w14:paraId="3750F006" w14:textId="77777777" w:rsidR="002541AD" w:rsidRDefault="00901AA6">
      <w:pPr>
        <w:spacing w:line="288" w:lineRule="auto"/>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Viewer11_files/ccg_revenue.jpg"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3750F8AB" wp14:editId="3750F8AC">
            <wp:extent cx="304800" cy="304800"/>
            <wp:effectExtent l="0" t="0" r="0" b="0"/>
            <wp:docPr id="28" name="图片 109"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9" descr="IMG_29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Viewer11_files/ccg_opinc.jpg"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3750F8AD" wp14:editId="3750F8AE">
            <wp:extent cx="304800" cy="304800"/>
            <wp:effectExtent l="0" t="0" r="0" b="0"/>
            <wp:docPr id="9" name="图片 110"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0" descr="IMG_30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14640" w:type="dxa"/>
        <w:tblCellMar>
          <w:left w:w="0" w:type="dxa"/>
          <w:right w:w="0" w:type="dxa"/>
        </w:tblCellMar>
        <w:tblLook w:val="04A0" w:firstRow="1" w:lastRow="0" w:firstColumn="1" w:lastColumn="0" w:noHBand="0" w:noVBand="1"/>
      </w:tblPr>
      <w:tblGrid>
        <w:gridCol w:w="2043"/>
        <w:gridCol w:w="1542"/>
        <w:gridCol w:w="11055"/>
      </w:tblGrid>
      <w:tr w:rsidR="002541AD" w14:paraId="3750F008" w14:textId="77777777">
        <w:tc>
          <w:tcPr>
            <w:tcW w:w="0" w:type="auto"/>
            <w:gridSpan w:val="3"/>
            <w:shd w:val="clear" w:color="auto" w:fill="auto"/>
            <w:vAlign w:val="center"/>
          </w:tcPr>
          <w:p w14:paraId="3750F007" w14:textId="77777777" w:rsidR="002541AD" w:rsidRDefault="002541AD">
            <w:pPr>
              <w:rPr>
                <w:rFonts w:ascii="Times New Roman" w:hAnsi="Times New Roman"/>
                <w:sz w:val="20"/>
                <w:szCs w:val="20"/>
              </w:rPr>
            </w:pPr>
          </w:p>
        </w:tc>
      </w:tr>
      <w:tr w:rsidR="002541AD" w14:paraId="3750F00C" w14:textId="77777777">
        <w:tc>
          <w:tcPr>
            <w:tcW w:w="2040" w:type="dxa"/>
            <w:shd w:val="clear" w:color="auto" w:fill="auto"/>
            <w:vAlign w:val="center"/>
          </w:tcPr>
          <w:p w14:paraId="3750F009" w14:textId="77777777" w:rsidR="002541AD" w:rsidRDefault="002541AD">
            <w:pPr>
              <w:rPr>
                <w:rFonts w:ascii="Times New Roman" w:hAnsi="Times New Roman"/>
                <w:sz w:val="20"/>
                <w:szCs w:val="20"/>
              </w:rPr>
            </w:pPr>
          </w:p>
        </w:tc>
        <w:tc>
          <w:tcPr>
            <w:tcW w:w="1540" w:type="dxa"/>
            <w:shd w:val="clear" w:color="auto" w:fill="auto"/>
            <w:vAlign w:val="center"/>
          </w:tcPr>
          <w:p w14:paraId="3750F00A" w14:textId="77777777" w:rsidR="002541AD" w:rsidRDefault="002541AD">
            <w:pPr>
              <w:rPr>
                <w:rFonts w:ascii="Times New Roman" w:hAnsi="Times New Roman"/>
                <w:sz w:val="20"/>
                <w:szCs w:val="20"/>
              </w:rPr>
            </w:pPr>
          </w:p>
        </w:tc>
        <w:tc>
          <w:tcPr>
            <w:tcW w:w="11040" w:type="dxa"/>
            <w:shd w:val="clear" w:color="auto" w:fill="auto"/>
            <w:vAlign w:val="center"/>
          </w:tcPr>
          <w:p w14:paraId="3750F00B" w14:textId="77777777" w:rsidR="002541AD" w:rsidRDefault="002541AD">
            <w:pPr>
              <w:rPr>
                <w:rFonts w:ascii="Times New Roman" w:hAnsi="Times New Roman"/>
                <w:sz w:val="20"/>
                <w:szCs w:val="20"/>
              </w:rPr>
            </w:pPr>
          </w:p>
        </w:tc>
      </w:tr>
      <w:tr w:rsidR="002541AD" w14:paraId="3750F010" w14:textId="77777777">
        <w:tc>
          <w:tcPr>
            <w:tcW w:w="0" w:type="auto"/>
            <w:shd w:val="clear" w:color="auto" w:fill="auto"/>
            <w:tcMar>
              <w:top w:w="40" w:type="dxa"/>
              <w:left w:w="40" w:type="dxa"/>
              <w:bottom w:w="40" w:type="dxa"/>
              <w:right w:w="40" w:type="dxa"/>
            </w:tcMar>
            <w:vAlign w:val="bottom"/>
          </w:tcPr>
          <w:p w14:paraId="3750F00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3750F00E" w14:textId="77777777" w:rsidR="002541AD" w:rsidRDefault="00901AA6">
            <w:pPr>
              <w:textAlignment w:val="center"/>
              <w:rPr>
                <w:rFonts w:ascii="Times New Roman" w:hAnsi="Times New Roman"/>
                <w:sz w:val="18"/>
                <w:szCs w:val="18"/>
              </w:rPr>
            </w:pPr>
            <w:r>
              <w:rPr>
                <w:rFonts w:ascii="Arial" w:eastAsia="宋体" w:hAnsi="Arial" w:cs="Arial"/>
                <w:color w:val="003C71"/>
                <w:sz w:val="18"/>
                <w:szCs w:val="18"/>
              </w:rPr>
              <w:t>■</w:t>
            </w:r>
            <w:r>
              <w:rPr>
                <w:rFonts w:ascii="Arial" w:eastAsia="宋体" w:hAnsi="Arial" w:cs="Arial"/>
                <w:color w:val="333333"/>
                <w:sz w:val="18"/>
                <w:szCs w:val="18"/>
              </w:rPr>
              <w:t> </w:t>
            </w:r>
            <w:r>
              <w:rPr>
                <w:rFonts w:ascii="Arial" w:eastAsia="宋体" w:hAnsi="Arial" w:cs="Arial"/>
                <w:color w:val="333333"/>
                <w:sz w:val="16"/>
                <w:szCs w:val="16"/>
              </w:rPr>
              <w:t>Platform</w:t>
            </w:r>
          </w:p>
        </w:tc>
        <w:tc>
          <w:tcPr>
            <w:tcW w:w="0" w:type="auto"/>
            <w:shd w:val="clear" w:color="auto" w:fill="auto"/>
            <w:tcMar>
              <w:top w:w="40" w:type="dxa"/>
              <w:left w:w="40" w:type="dxa"/>
              <w:bottom w:w="40" w:type="dxa"/>
              <w:right w:w="40" w:type="dxa"/>
            </w:tcMar>
            <w:vAlign w:val="center"/>
          </w:tcPr>
          <w:p w14:paraId="3750F00F" w14:textId="77777777" w:rsidR="002541AD" w:rsidRDefault="00901AA6">
            <w:pPr>
              <w:textAlignment w:val="center"/>
              <w:rPr>
                <w:rFonts w:ascii="Times New Roman" w:hAnsi="Times New Roman"/>
                <w:sz w:val="18"/>
                <w:szCs w:val="18"/>
              </w:rPr>
            </w:pPr>
            <w:r>
              <w:rPr>
                <w:rFonts w:ascii="Arial" w:eastAsia="宋体" w:hAnsi="Arial" w:cs="Arial"/>
                <w:color w:val="FFA300"/>
                <w:sz w:val="18"/>
                <w:szCs w:val="18"/>
              </w:rPr>
              <w:t>■</w:t>
            </w:r>
            <w:r>
              <w:rPr>
                <w:rFonts w:ascii="Arial" w:eastAsia="宋体" w:hAnsi="Arial" w:cs="Arial"/>
                <w:color w:val="333333"/>
                <w:sz w:val="18"/>
                <w:szCs w:val="18"/>
              </w:rPr>
              <w:t> </w:t>
            </w:r>
            <w:r>
              <w:rPr>
                <w:rFonts w:ascii="Arial" w:eastAsia="宋体" w:hAnsi="Arial" w:cs="Arial"/>
                <w:color w:val="333333"/>
                <w:sz w:val="16"/>
                <w:szCs w:val="16"/>
              </w:rPr>
              <w:t>Adjacent</w:t>
            </w:r>
          </w:p>
        </w:tc>
      </w:tr>
    </w:tbl>
    <w:p w14:paraId="3750F011" w14:textId="77777777" w:rsidR="002541AD" w:rsidRDefault="002541AD">
      <w:pPr>
        <w:rPr>
          <w:vanish/>
        </w:rPr>
      </w:pPr>
    </w:p>
    <w:tbl>
      <w:tblPr>
        <w:tblW w:w="5000" w:type="pct"/>
        <w:tblCellMar>
          <w:left w:w="0" w:type="dxa"/>
          <w:right w:w="0" w:type="dxa"/>
        </w:tblCellMar>
        <w:tblLook w:val="04A0" w:firstRow="1" w:lastRow="0" w:firstColumn="1" w:lastColumn="0" w:noHBand="0" w:noVBand="1"/>
      </w:tblPr>
      <w:tblGrid>
        <w:gridCol w:w="8306"/>
      </w:tblGrid>
      <w:tr w:rsidR="002541AD" w14:paraId="3750F013" w14:textId="77777777">
        <w:tc>
          <w:tcPr>
            <w:tcW w:w="0" w:type="auto"/>
            <w:shd w:val="clear" w:color="auto" w:fill="auto"/>
            <w:vAlign w:val="center"/>
          </w:tcPr>
          <w:p w14:paraId="3750F012" w14:textId="77777777" w:rsidR="002541AD" w:rsidRDefault="002541AD">
            <w:pPr>
              <w:rPr>
                <w:rFonts w:ascii="Times New Roman" w:hAnsi="Times New Roman"/>
                <w:sz w:val="20"/>
                <w:szCs w:val="20"/>
              </w:rPr>
            </w:pPr>
          </w:p>
        </w:tc>
      </w:tr>
      <w:tr w:rsidR="002541AD" w14:paraId="3750F015" w14:textId="77777777">
        <w:tc>
          <w:tcPr>
            <w:tcW w:w="5000" w:type="pct"/>
            <w:shd w:val="clear" w:color="auto" w:fill="auto"/>
            <w:vAlign w:val="center"/>
          </w:tcPr>
          <w:p w14:paraId="3750F014" w14:textId="77777777" w:rsidR="002541AD" w:rsidRDefault="002541AD">
            <w:pPr>
              <w:rPr>
                <w:rFonts w:ascii="Times New Roman" w:hAnsi="Times New Roman"/>
                <w:sz w:val="20"/>
                <w:szCs w:val="20"/>
              </w:rPr>
            </w:pPr>
          </w:p>
        </w:tc>
      </w:tr>
      <w:tr w:rsidR="002541AD" w14:paraId="3750F017"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3750F016" w14:textId="77777777" w:rsidR="002541AD" w:rsidRDefault="00901AA6">
            <w:pPr>
              <w:textAlignment w:val="bottom"/>
              <w:rPr>
                <w:rFonts w:ascii="Times New Roman" w:hAnsi="Times New Roman"/>
                <w:sz w:val="20"/>
                <w:szCs w:val="20"/>
              </w:rPr>
            </w:pPr>
            <w:r>
              <w:rPr>
                <w:rFonts w:ascii="Arial" w:eastAsia="宋体" w:hAnsi="Arial" w:cs="Arial"/>
                <w:b/>
                <w:bCs/>
                <w:color w:val="0071C5"/>
                <w:sz w:val="20"/>
                <w:szCs w:val="20"/>
              </w:rPr>
              <w:t>REVENUE SUMMARY</w:t>
            </w:r>
          </w:p>
        </w:tc>
      </w:tr>
    </w:tbl>
    <w:p w14:paraId="3750F018"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Revenue in Q1 2020 was up 14% compared to Q1 2019, driven by strong demand for notebook platform products and incremental LTE modem volume, offset slightly by lower ASPs due to increased small core mix. Strength in notebook platform products reflects the i</w:t>
      </w:r>
      <w:r>
        <w:rPr>
          <w:rFonts w:ascii="Arial" w:eastAsia="宋体" w:hAnsi="Arial" w:cs="Arial"/>
          <w:color w:val="333333"/>
          <w:sz w:val="18"/>
          <w:szCs w:val="18"/>
        </w:rPr>
        <w:t xml:space="preserve">ncreased reliance on PCs as more people are working and learning from home due to COVID-19. </w:t>
      </w:r>
    </w:p>
    <w:p w14:paraId="3750F019"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We expect this strength to continue for the first half of the year but anticipate PC TAM to decline in the second half of 2020. </w:t>
      </w:r>
    </w:p>
    <w:tbl>
      <w:tblPr>
        <w:tblW w:w="5000" w:type="pct"/>
        <w:tblCellMar>
          <w:left w:w="0" w:type="dxa"/>
          <w:right w:w="0" w:type="dxa"/>
        </w:tblCellMar>
        <w:tblLook w:val="04A0" w:firstRow="1" w:lastRow="0" w:firstColumn="1" w:lastColumn="0" w:noHBand="0" w:noVBand="1"/>
      </w:tblPr>
      <w:tblGrid>
        <w:gridCol w:w="6085"/>
        <w:gridCol w:w="130"/>
        <w:gridCol w:w="511"/>
        <w:gridCol w:w="461"/>
        <w:gridCol w:w="130"/>
        <w:gridCol w:w="142"/>
        <w:gridCol w:w="747"/>
        <w:gridCol w:w="100"/>
      </w:tblGrid>
      <w:tr w:rsidR="002541AD" w14:paraId="3750F01B" w14:textId="77777777">
        <w:tc>
          <w:tcPr>
            <w:tcW w:w="0" w:type="auto"/>
            <w:gridSpan w:val="8"/>
            <w:shd w:val="clear" w:color="auto" w:fill="auto"/>
            <w:vAlign w:val="center"/>
          </w:tcPr>
          <w:p w14:paraId="3750F01A" w14:textId="77777777" w:rsidR="002541AD" w:rsidRDefault="002541AD">
            <w:pPr>
              <w:rPr>
                <w:rFonts w:ascii="Times New Roman" w:hAnsi="Times New Roman"/>
                <w:sz w:val="20"/>
                <w:szCs w:val="20"/>
              </w:rPr>
            </w:pPr>
          </w:p>
        </w:tc>
      </w:tr>
      <w:tr w:rsidR="002541AD" w14:paraId="3750F024" w14:textId="77777777">
        <w:tc>
          <w:tcPr>
            <w:tcW w:w="3700" w:type="pct"/>
            <w:shd w:val="clear" w:color="auto" w:fill="auto"/>
            <w:vAlign w:val="center"/>
          </w:tcPr>
          <w:p w14:paraId="3750F01C" w14:textId="77777777" w:rsidR="002541AD" w:rsidRDefault="002541AD">
            <w:pPr>
              <w:rPr>
                <w:rFonts w:ascii="Times New Roman" w:hAnsi="Times New Roman"/>
                <w:sz w:val="20"/>
                <w:szCs w:val="20"/>
              </w:rPr>
            </w:pPr>
          </w:p>
        </w:tc>
        <w:tc>
          <w:tcPr>
            <w:tcW w:w="50" w:type="pct"/>
            <w:shd w:val="clear" w:color="auto" w:fill="auto"/>
            <w:vAlign w:val="center"/>
          </w:tcPr>
          <w:p w14:paraId="3750F01D" w14:textId="77777777" w:rsidR="002541AD" w:rsidRDefault="002541AD">
            <w:pPr>
              <w:rPr>
                <w:rFonts w:ascii="Times New Roman" w:hAnsi="Times New Roman"/>
                <w:sz w:val="20"/>
                <w:szCs w:val="20"/>
              </w:rPr>
            </w:pPr>
          </w:p>
        </w:tc>
        <w:tc>
          <w:tcPr>
            <w:tcW w:w="300" w:type="pct"/>
            <w:shd w:val="clear" w:color="auto" w:fill="auto"/>
            <w:vAlign w:val="center"/>
          </w:tcPr>
          <w:p w14:paraId="3750F01E" w14:textId="77777777" w:rsidR="002541AD" w:rsidRDefault="002541AD">
            <w:pPr>
              <w:rPr>
                <w:rFonts w:ascii="Times New Roman" w:hAnsi="Times New Roman"/>
                <w:sz w:val="20"/>
                <w:szCs w:val="20"/>
              </w:rPr>
            </w:pPr>
          </w:p>
        </w:tc>
        <w:tc>
          <w:tcPr>
            <w:tcW w:w="300" w:type="pct"/>
            <w:shd w:val="clear" w:color="auto" w:fill="auto"/>
            <w:vAlign w:val="center"/>
          </w:tcPr>
          <w:p w14:paraId="3750F01F" w14:textId="77777777" w:rsidR="002541AD" w:rsidRDefault="002541AD">
            <w:pPr>
              <w:rPr>
                <w:rFonts w:ascii="Times New Roman" w:hAnsi="Times New Roman"/>
                <w:sz w:val="20"/>
                <w:szCs w:val="20"/>
              </w:rPr>
            </w:pPr>
          </w:p>
        </w:tc>
        <w:tc>
          <w:tcPr>
            <w:tcW w:w="50" w:type="pct"/>
            <w:shd w:val="clear" w:color="auto" w:fill="auto"/>
            <w:vAlign w:val="center"/>
          </w:tcPr>
          <w:p w14:paraId="3750F020" w14:textId="77777777" w:rsidR="002541AD" w:rsidRDefault="002541AD">
            <w:pPr>
              <w:rPr>
                <w:rFonts w:ascii="Times New Roman" w:hAnsi="Times New Roman"/>
                <w:sz w:val="20"/>
                <w:szCs w:val="20"/>
              </w:rPr>
            </w:pPr>
          </w:p>
        </w:tc>
        <w:tc>
          <w:tcPr>
            <w:tcW w:w="50" w:type="pct"/>
            <w:shd w:val="clear" w:color="auto" w:fill="auto"/>
            <w:vAlign w:val="center"/>
          </w:tcPr>
          <w:p w14:paraId="3750F021" w14:textId="77777777" w:rsidR="002541AD" w:rsidRDefault="002541AD">
            <w:pPr>
              <w:rPr>
                <w:rFonts w:ascii="Times New Roman" w:hAnsi="Times New Roman"/>
                <w:sz w:val="20"/>
                <w:szCs w:val="20"/>
              </w:rPr>
            </w:pPr>
          </w:p>
        </w:tc>
        <w:tc>
          <w:tcPr>
            <w:tcW w:w="500" w:type="pct"/>
            <w:shd w:val="clear" w:color="auto" w:fill="auto"/>
            <w:vAlign w:val="center"/>
          </w:tcPr>
          <w:p w14:paraId="3750F022" w14:textId="77777777" w:rsidR="002541AD" w:rsidRDefault="002541AD">
            <w:pPr>
              <w:rPr>
                <w:rFonts w:ascii="Times New Roman" w:hAnsi="Times New Roman"/>
                <w:sz w:val="20"/>
                <w:szCs w:val="20"/>
              </w:rPr>
            </w:pPr>
          </w:p>
        </w:tc>
        <w:tc>
          <w:tcPr>
            <w:tcW w:w="50" w:type="pct"/>
            <w:shd w:val="clear" w:color="auto" w:fill="auto"/>
            <w:vAlign w:val="center"/>
          </w:tcPr>
          <w:p w14:paraId="3750F023" w14:textId="77777777" w:rsidR="002541AD" w:rsidRDefault="002541AD">
            <w:pPr>
              <w:rPr>
                <w:rFonts w:ascii="Times New Roman" w:hAnsi="Times New Roman"/>
                <w:sz w:val="20"/>
                <w:szCs w:val="20"/>
              </w:rPr>
            </w:pPr>
          </w:p>
        </w:tc>
      </w:tr>
      <w:tr w:rsidR="002541AD" w14:paraId="3750F028" w14:textId="77777777">
        <w:tc>
          <w:tcPr>
            <w:tcW w:w="0" w:type="auto"/>
            <w:shd w:val="clear" w:color="auto" w:fill="auto"/>
            <w:tcMar>
              <w:top w:w="40" w:type="dxa"/>
              <w:left w:w="40" w:type="dxa"/>
              <w:bottom w:w="40" w:type="dxa"/>
              <w:right w:w="40" w:type="dxa"/>
            </w:tcMar>
            <w:vAlign w:val="bottom"/>
          </w:tcPr>
          <w:p w14:paraId="3750F02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02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71C5"/>
            </w:tcBorders>
            <w:shd w:val="clear" w:color="auto" w:fill="auto"/>
            <w:tcMar>
              <w:top w:w="40" w:type="dxa"/>
              <w:left w:w="40" w:type="dxa"/>
              <w:bottom w:w="40" w:type="dxa"/>
              <w:right w:w="40" w:type="dxa"/>
            </w:tcMar>
            <w:vAlign w:val="bottom"/>
          </w:tcPr>
          <w:p w14:paraId="3750F027"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Q1 2020 vs. Q1 </w:t>
            </w:r>
            <w:r>
              <w:rPr>
                <w:rFonts w:ascii="Arial" w:eastAsia="宋体" w:hAnsi="Arial" w:cs="Arial"/>
                <w:b/>
                <w:bCs/>
                <w:color w:val="333333"/>
                <w:sz w:val="18"/>
                <w:szCs w:val="18"/>
              </w:rPr>
              <w:t>2019</w:t>
            </w:r>
          </w:p>
        </w:tc>
      </w:tr>
      <w:tr w:rsidR="002541AD" w14:paraId="3750F02E"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F029"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(Dollars in Millions)</w:t>
            </w:r>
          </w:p>
        </w:tc>
        <w:tc>
          <w:tcPr>
            <w:tcW w:w="0" w:type="auto"/>
            <w:shd w:val="clear" w:color="auto" w:fill="auto"/>
            <w:tcMar>
              <w:top w:w="40" w:type="dxa"/>
              <w:left w:w="40" w:type="dxa"/>
              <w:bottom w:w="40" w:type="dxa"/>
              <w:right w:w="40" w:type="dxa"/>
            </w:tcMar>
            <w:vAlign w:val="bottom"/>
          </w:tcPr>
          <w:p w14:paraId="3750F02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3750F02B"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left w:w="40" w:type="dxa"/>
              <w:bottom w:w="40" w:type="dxa"/>
              <w:right w:w="40" w:type="dxa"/>
            </w:tcMar>
            <w:vAlign w:val="bottom"/>
          </w:tcPr>
          <w:p w14:paraId="3750F02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F02D"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Impact</w:t>
            </w:r>
          </w:p>
        </w:tc>
      </w:tr>
      <w:tr w:rsidR="002541AD" w14:paraId="3750F035" w14:textId="77777777">
        <w:tc>
          <w:tcPr>
            <w:tcW w:w="0" w:type="auto"/>
            <w:shd w:val="clear" w:color="auto" w:fill="auto"/>
            <w:tcMar>
              <w:top w:w="40" w:type="dxa"/>
              <w:left w:w="40" w:type="dxa"/>
              <w:bottom w:w="40" w:type="dxa"/>
              <w:right w:w="40" w:type="dxa"/>
            </w:tcMar>
            <w:vAlign w:val="bottom"/>
          </w:tcPr>
          <w:p w14:paraId="3750F02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03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03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03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03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F03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03E" w14:textId="77777777">
        <w:tc>
          <w:tcPr>
            <w:tcW w:w="0" w:type="auto"/>
            <w:shd w:val="clear" w:color="auto" w:fill="auto"/>
            <w:tcMar>
              <w:top w:w="40" w:type="dxa"/>
              <w:left w:w="40" w:type="dxa"/>
              <w:bottom w:w="40" w:type="dxa"/>
              <w:right w:w="40" w:type="dxa"/>
            </w:tcMar>
            <w:vAlign w:val="center"/>
          </w:tcPr>
          <w:p w14:paraId="3750F036" w14:textId="77777777" w:rsidR="002541AD" w:rsidRDefault="00901AA6">
            <w:pPr>
              <w:textAlignment w:val="center"/>
              <w:rPr>
                <w:rFonts w:ascii="Times New Roman" w:hAnsi="Times New Roman"/>
                <w:sz w:val="18"/>
                <w:szCs w:val="18"/>
              </w:rPr>
            </w:pPr>
            <w:r>
              <w:rPr>
                <w:rFonts w:ascii="Arial" w:eastAsia="宋体" w:hAnsi="Arial" w:cs="Arial"/>
                <w:color w:val="333333"/>
                <w:sz w:val="18"/>
                <w:szCs w:val="18"/>
              </w:rPr>
              <w:t>Desktop platform volume</w:t>
            </w:r>
          </w:p>
        </w:tc>
        <w:tc>
          <w:tcPr>
            <w:tcW w:w="0" w:type="auto"/>
            <w:shd w:val="clear" w:color="auto" w:fill="auto"/>
            <w:tcMar>
              <w:top w:w="40" w:type="dxa"/>
              <w:left w:w="40" w:type="dxa"/>
              <w:bottom w:w="40" w:type="dxa"/>
              <w:right w:w="40" w:type="dxa"/>
            </w:tcMar>
            <w:vAlign w:val="bottom"/>
          </w:tcPr>
          <w:p w14:paraId="3750F03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3750F038" w14:textId="77777777" w:rsidR="002541AD" w:rsidRDefault="00901AA6">
            <w:pPr>
              <w:jc w:val="right"/>
              <w:textAlignment w:val="center"/>
              <w:rPr>
                <w:rFonts w:ascii="Times New Roman" w:hAnsi="Times New Roman"/>
                <w:sz w:val="18"/>
                <w:szCs w:val="18"/>
              </w:rPr>
            </w:pPr>
            <w:r>
              <w:rPr>
                <w:rFonts w:ascii="Arial" w:eastAsia="宋体" w:hAnsi="Arial" w:cs="Arial"/>
                <w:color w:val="0071C5"/>
                <w:sz w:val="18"/>
                <w:szCs w:val="18"/>
              </w:rPr>
              <w:t>down</w:t>
            </w:r>
          </w:p>
        </w:tc>
        <w:tc>
          <w:tcPr>
            <w:tcW w:w="0" w:type="auto"/>
            <w:shd w:val="clear" w:color="auto" w:fill="auto"/>
            <w:tcMar>
              <w:top w:w="40" w:type="dxa"/>
              <w:left w:w="40" w:type="dxa"/>
              <w:bottom w:w="40" w:type="dxa"/>
              <w:right w:w="40" w:type="dxa"/>
            </w:tcMar>
            <w:vAlign w:val="center"/>
          </w:tcPr>
          <w:p w14:paraId="3750F039" w14:textId="77777777" w:rsidR="002541AD" w:rsidRDefault="00901AA6">
            <w:pPr>
              <w:textAlignment w:val="center"/>
              <w:rPr>
                <w:rFonts w:ascii="Times New Roman" w:hAnsi="Times New Roman"/>
                <w:sz w:val="18"/>
                <w:szCs w:val="18"/>
              </w:rPr>
            </w:pPr>
            <w:r>
              <w:rPr>
                <w:rFonts w:ascii="Arial" w:eastAsia="宋体" w:hAnsi="Arial" w:cs="Arial"/>
                <w:color w:val="0071C5"/>
                <w:sz w:val="18"/>
                <w:szCs w:val="18"/>
              </w:rPr>
              <w:t>(4)%</w:t>
            </w:r>
          </w:p>
        </w:tc>
        <w:tc>
          <w:tcPr>
            <w:tcW w:w="0" w:type="auto"/>
            <w:shd w:val="clear" w:color="auto" w:fill="auto"/>
            <w:tcMar>
              <w:top w:w="40" w:type="dxa"/>
              <w:left w:w="40" w:type="dxa"/>
              <w:bottom w:w="40" w:type="dxa"/>
              <w:right w:w="40" w:type="dxa"/>
            </w:tcMar>
            <w:vAlign w:val="bottom"/>
          </w:tcPr>
          <w:p w14:paraId="3750F03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3750F03B" w14:textId="77777777" w:rsidR="002541AD" w:rsidRDefault="00901AA6">
            <w:pPr>
              <w:textAlignment w:val="center"/>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center"/>
          </w:tcPr>
          <w:p w14:paraId="3750F03C" w14:textId="77777777" w:rsidR="002541AD" w:rsidRDefault="00901AA6">
            <w:pPr>
              <w:jc w:val="right"/>
              <w:textAlignment w:val="center"/>
              <w:rPr>
                <w:rFonts w:ascii="Times New Roman" w:hAnsi="Times New Roman"/>
                <w:sz w:val="18"/>
                <w:szCs w:val="18"/>
              </w:rPr>
            </w:pPr>
            <w:r>
              <w:rPr>
                <w:rFonts w:ascii="Arial" w:eastAsia="宋体" w:hAnsi="Arial" w:cs="Arial"/>
                <w:color w:val="0071C5"/>
                <w:sz w:val="18"/>
                <w:szCs w:val="18"/>
              </w:rPr>
              <w:t>(143</w:t>
            </w:r>
          </w:p>
        </w:tc>
        <w:tc>
          <w:tcPr>
            <w:tcW w:w="0" w:type="auto"/>
            <w:shd w:val="clear" w:color="auto" w:fill="auto"/>
            <w:tcMar>
              <w:top w:w="40" w:type="dxa"/>
              <w:bottom w:w="40" w:type="dxa"/>
              <w:right w:w="40" w:type="dxa"/>
            </w:tcMar>
            <w:vAlign w:val="center"/>
          </w:tcPr>
          <w:p w14:paraId="3750F03D" w14:textId="77777777" w:rsidR="002541AD" w:rsidRDefault="00901AA6">
            <w:pPr>
              <w:textAlignment w:val="center"/>
              <w:rPr>
                <w:rFonts w:ascii="Times New Roman" w:hAnsi="Times New Roman"/>
                <w:sz w:val="18"/>
                <w:szCs w:val="18"/>
              </w:rPr>
            </w:pPr>
            <w:r>
              <w:rPr>
                <w:rFonts w:ascii="Arial" w:eastAsia="宋体" w:hAnsi="Arial" w:cs="Arial"/>
                <w:color w:val="0071C5"/>
                <w:sz w:val="18"/>
                <w:szCs w:val="18"/>
              </w:rPr>
              <w:t>)</w:t>
            </w:r>
          </w:p>
        </w:tc>
      </w:tr>
      <w:tr w:rsidR="002541AD" w14:paraId="3750F046" w14:textId="77777777">
        <w:tc>
          <w:tcPr>
            <w:tcW w:w="0" w:type="auto"/>
            <w:shd w:val="clear" w:color="auto" w:fill="auto"/>
            <w:tcMar>
              <w:top w:w="40" w:type="dxa"/>
              <w:left w:w="40" w:type="dxa"/>
              <w:bottom w:w="40" w:type="dxa"/>
              <w:right w:w="40" w:type="dxa"/>
            </w:tcMar>
            <w:vAlign w:val="bottom"/>
          </w:tcPr>
          <w:p w14:paraId="3750F03F"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Desktop platform ASP</w:t>
            </w:r>
          </w:p>
        </w:tc>
        <w:tc>
          <w:tcPr>
            <w:tcW w:w="0" w:type="auto"/>
            <w:shd w:val="clear" w:color="auto" w:fill="auto"/>
            <w:tcMar>
              <w:top w:w="40" w:type="dxa"/>
              <w:left w:w="40" w:type="dxa"/>
              <w:bottom w:w="40" w:type="dxa"/>
              <w:right w:w="40" w:type="dxa"/>
            </w:tcMar>
            <w:vAlign w:val="bottom"/>
          </w:tcPr>
          <w:p w14:paraId="3750F04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3750F041" w14:textId="77777777" w:rsidR="002541AD" w:rsidRDefault="00901AA6">
            <w:pPr>
              <w:jc w:val="right"/>
              <w:textAlignment w:val="center"/>
              <w:rPr>
                <w:rFonts w:ascii="Times New Roman" w:hAnsi="Times New Roman"/>
                <w:sz w:val="18"/>
                <w:szCs w:val="18"/>
              </w:rPr>
            </w:pPr>
            <w:r>
              <w:rPr>
                <w:rFonts w:ascii="Arial" w:eastAsia="宋体" w:hAnsi="Arial" w:cs="Arial"/>
                <w:color w:val="0071C5"/>
                <w:sz w:val="18"/>
                <w:szCs w:val="18"/>
              </w:rPr>
              <w:t>up</w:t>
            </w:r>
          </w:p>
        </w:tc>
        <w:tc>
          <w:tcPr>
            <w:tcW w:w="0" w:type="auto"/>
            <w:shd w:val="clear" w:color="auto" w:fill="auto"/>
            <w:tcMar>
              <w:top w:w="40" w:type="dxa"/>
              <w:left w:w="40" w:type="dxa"/>
              <w:bottom w:w="40" w:type="dxa"/>
              <w:right w:w="40" w:type="dxa"/>
            </w:tcMar>
            <w:vAlign w:val="center"/>
          </w:tcPr>
          <w:p w14:paraId="3750F042" w14:textId="77777777" w:rsidR="002541AD" w:rsidRDefault="00901AA6">
            <w:pPr>
              <w:textAlignment w:val="center"/>
              <w:rPr>
                <w:rFonts w:ascii="Times New Roman" w:hAnsi="Times New Roman"/>
                <w:sz w:val="18"/>
                <w:szCs w:val="18"/>
              </w:rPr>
            </w:pPr>
            <w:r>
              <w:rPr>
                <w:rFonts w:ascii="Arial" w:eastAsia="宋体" w:hAnsi="Arial" w:cs="Arial"/>
                <w:color w:val="0071C5"/>
                <w:sz w:val="18"/>
                <w:szCs w:val="18"/>
              </w:rPr>
              <w:t>4%</w:t>
            </w:r>
          </w:p>
        </w:tc>
        <w:tc>
          <w:tcPr>
            <w:tcW w:w="0" w:type="auto"/>
            <w:shd w:val="clear" w:color="auto" w:fill="auto"/>
            <w:tcMar>
              <w:top w:w="40" w:type="dxa"/>
              <w:left w:w="40" w:type="dxa"/>
              <w:bottom w:w="40" w:type="dxa"/>
              <w:right w:w="40" w:type="dxa"/>
            </w:tcMar>
            <w:vAlign w:val="bottom"/>
          </w:tcPr>
          <w:p w14:paraId="3750F04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3750F044" w14:textId="77777777" w:rsidR="002541AD" w:rsidRDefault="00901AA6">
            <w:pPr>
              <w:jc w:val="right"/>
              <w:textAlignment w:val="center"/>
              <w:rPr>
                <w:rFonts w:ascii="Times New Roman" w:hAnsi="Times New Roman"/>
                <w:sz w:val="18"/>
                <w:szCs w:val="18"/>
              </w:rPr>
            </w:pPr>
            <w:r>
              <w:rPr>
                <w:rFonts w:ascii="Arial" w:eastAsia="宋体" w:hAnsi="Arial" w:cs="Arial"/>
                <w:color w:val="0071C5"/>
                <w:sz w:val="18"/>
                <w:szCs w:val="18"/>
              </w:rPr>
              <w:t>97</w:t>
            </w:r>
          </w:p>
        </w:tc>
        <w:tc>
          <w:tcPr>
            <w:tcW w:w="0" w:type="auto"/>
            <w:shd w:val="clear" w:color="auto" w:fill="auto"/>
            <w:vAlign w:val="bottom"/>
          </w:tcPr>
          <w:p w14:paraId="3750F045" w14:textId="77777777" w:rsidR="002541AD" w:rsidRDefault="002541AD">
            <w:pPr>
              <w:textAlignment w:val="bottom"/>
              <w:rPr>
                <w:rFonts w:ascii="Times New Roman" w:hAnsi="Times New Roman"/>
                <w:sz w:val="20"/>
                <w:szCs w:val="20"/>
              </w:rPr>
            </w:pPr>
          </w:p>
        </w:tc>
      </w:tr>
      <w:tr w:rsidR="002541AD" w14:paraId="3750F04E" w14:textId="77777777">
        <w:tc>
          <w:tcPr>
            <w:tcW w:w="0" w:type="auto"/>
            <w:shd w:val="clear" w:color="auto" w:fill="auto"/>
            <w:tcMar>
              <w:top w:w="40" w:type="dxa"/>
              <w:left w:w="40" w:type="dxa"/>
              <w:bottom w:w="40" w:type="dxa"/>
              <w:right w:w="40" w:type="dxa"/>
            </w:tcMar>
            <w:vAlign w:val="bottom"/>
          </w:tcPr>
          <w:p w14:paraId="3750F047"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Notebook platform volume</w:t>
            </w:r>
          </w:p>
        </w:tc>
        <w:tc>
          <w:tcPr>
            <w:tcW w:w="0" w:type="auto"/>
            <w:shd w:val="clear" w:color="auto" w:fill="auto"/>
            <w:tcMar>
              <w:top w:w="40" w:type="dxa"/>
              <w:left w:w="40" w:type="dxa"/>
              <w:bottom w:w="40" w:type="dxa"/>
              <w:right w:w="40" w:type="dxa"/>
            </w:tcMar>
            <w:vAlign w:val="bottom"/>
          </w:tcPr>
          <w:p w14:paraId="3750F04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3750F049" w14:textId="77777777" w:rsidR="002541AD" w:rsidRDefault="00901AA6">
            <w:pPr>
              <w:jc w:val="right"/>
              <w:textAlignment w:val="center"/>
              <w:rPr>
                <w:rFonts w:ascii="Times New Roman" w:hAnsi="Times New Roman"/>
                <w:sz w:val="18"/>
                <w:szCs w:val="18"/>
              </w:rPr>
            </w:pPr>
            <w:r>
              <w:rPr>
                <w:rFonts w:ascii="Arial" w:eastAsia="宋体" w:hAnsi="Arial" w:cs="Arial"/>
                <w:color w:val="0071C5"/>
                <w:sz w:val="18"/>
                <w:szCs w:val="18"/>
              </w:rPr>
              <w:t>up</w:t>
            </w:r>
          </w:p>
        </w:tc>
        <w:tc>
          <w:tcPr>
            <w:tcW w:w="0" w:type="auto"/>
            <w:shd w:val="clear" w:color="auto" w:fill="auto"/>
            <w:tcMar>
              <w:top w:w="40" w:type="dxa"/>
              <w:left w:w="40" w:type="dxa"/>
              <w:bottom w:w="40" w:type="dxa"/>
              <w:right w:w="40" w:type="dxa"/>
            </w:tcMar>
            <w:vAlign w:val="center"/>
          </w:tcPr>
          <w:p w14:paraId="3750F04A" w14:textId="77777777" w:rsidR="002541AD" w:rsidRDefault="00901AA6">
            <w:pPr>
              <w:textAlignment w:val="center"/>
              <w:rPr>
                <w:rFonts w:ascii="Times New Roman" w:hAnsi="Times New Roman"/>
                <w:sz w:val="18"/>
                <w:szCs w:val="18"/>
              </w:rPr>
            </w:pPr>
            <w:r>
              <w:rPr>
                <w:rFonts w:ascii="Arial" w:eastAsia="宋体" w:hAnsi="Arial" w:cs="Arial"/>
                <w:color w:val="0071C5"/>
                <w:sz w:val="18"/>
                <w:szCs w:val="18"/>
              </w:rPr>
              <w:t>22%</w:t>
            </w:r>
          </w:p>
        </w:tc>
        <w:tc>
          <w:tcPr>
            <w:tcW w:w="0" w:type="auto"/>
            <w:shd w:val="clear" w:color="auto" w:fill="auto"/>
            <w:tcMar>
              <w:top w:w="40" w:type="dxa"/>
              <w:left w:w="40" w:type="dxa"/>
              <w:bottom w:w="40" w:type="dxa"/>
              <w:right w:w="40" w:type="dxa"/>
            </w:tcMar>
            <w:vAlign w:val="bottom"/>
          </w:tcPr>
          <w:p w14:paraId="3750F04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3750F04C" w14:textId="77777777" w:rsidR="002541AD" w:rsidRDefault="00901AA6">
            <w:pPr>
              <w:jc w:val="right"/>
              <w:textAlignment w:val="center"/>
              <w:rPr>
                <w:rFonts w:ascii="Times New Roman" w:hAnsi="Times New Roman"/>
                <w:sz w:val="18"/>
                <w:szCs w:val="18"/>
              </w:rPr>
            </w:pPr>
            <w:r>
              <w:rPr>
                <w:rFonts w:ascii="Arial" w:eastAsia="宋体" w:hAnsi="Arial" w:cs="Arial"/>
                <w:color w:val="0071C5"/>
                <w:sz w:val="18"/>
                <w:szCs w:val="18"/>
              </w:rPr>
              <w:t>1,100</w:t>
            </w:r>
          </w:p>
        </w:tc>
        <w:tc>
          <w:tcPr>
            <w:tcW w:w="0" w:type="auto"/>
            <w:shd w:val="clear" w:color="auto" w:fill="auto"/>
            <w:vAlign w:val="bottom"/>
          </w:tcPr>
          <w:p w14:paraId="3750F04D" w14:textId="77777777" w:rsidR="002541AD" w:rsidRDefault="002541AD">
            <w:pPr>
              <w:textAlignment w:val="bottom"/>
              <w:rPr>
                <w:rFonts w:ascii="Times New Roman" w:hAnsi="Times New Roman"/>
                <w:sz w:val="20"/>
                <w:szCs w:val="20"/>
              </w:rPr>
            </w:pPr>
          </w:p>
        </w:tc>
      </w:tr>
      <w:tr w:rsidR="002541AD" w14:paraId="3750F056" w14:textId="77777777">
        <w:tc>
          <w:tcPr>
            <w:tcW w:w="0" w:type="auto"/>
            <w:shd w:val="clear" w:color="auto" w:fill="auto"/>
            <w:tcMar>
              <w:top w:w="40" w:type="dxa"/>
              <w:left w:w="40" w:type="dxa"/>
              <w:bottom w:w="40" w:type="dxa"/>
              <w:right w:w="40" w:type="dxa"/>
            </w:tcMar>
            <w:vAlign w:val="bottom"/>
          </w:tcPr>
          <w:p w14:paraId="3750F04F"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Notebook platform ASP</w:t>
            </w:r>
          </w:p>
        </w:tc>
        <w:tc>
          <w:tcPr>
            <w:tcW w:w="0" w:type="auto"/>
            <w:shd w:val="clear" w:color="auto" w:fill="auto"/>
            <w:tcMar>
              <w:top w:w="40" w:type="dxa"/>
              <w:left w:w="40" w:type="dxa"/>
              <w:bottom w:w="40" w:type="dxa"/>
              <w:right w:w="40" w:type="dxa"/>
            </w:tcMar>
            <w:vAlign w:val="bottom"/>
          </w:tcPr>
          <w:p w14:paraId="3750F05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3750F051" w14:textId="77777777" w:rsidR="002541AD" w:rsidRDefault="00901AA6">
            <w:pPr>
              <w:jc w:val="right"/>
              <w:textAlignment w:val="center"/>
              <w:rPr>
                <w:rFonts w:ascii="Times New Roman" w:hAnsi="Times New Roman"/>
                <w:sz w:val="18"/>
                <w:szCs w:val="18"/>
              </w:rPr>
            </w:pPr>
            <w:r>
              <w:rPr>
                <w:rFonts w:ascii="Arial" w:eastAsia="宋体" w:hAnsi="Arial" w:cs="Arial"/>
                <w:color w:val="0071C5"/>
                <w:sz w:val="18"/>
                <w:szCs w:val="18"/>
              </w:rPr>
              <w:t>down</w:t>
            </w:r>
          </w:p>
        </w:tc>
        <w:tc>
          <w:tcPr>
            <w:tcW w:w="0" w:type="auto"/>
            <w:shd w:val="clear" w:color="auto" w:fill="auto"/>
            <w:tcMar>
              <w:top w:w="40" w:type="dxa"/>
              <w:left w:w="40" w:type="dxa"/>
              <w:bottom w:w="40" w:type="dxa"/>
              <w:right w:w="40" w:type="dxa"/>
            </w:tcMar>
            <w:vAlign w:val="center"/>
          </w:tcPr>
          <w:p w14:paraId="3750F052" w14:textId="77777777" w:rsidR="002541AD" w:rsidRDefault="00901AA6">
            <w:pPr>
              <w:textAlignment w:val="center"/>
              <w:rPr>
                <w:rFonts w:ascii="Times New Roman" w:hAnsi="Times New Roman"/>
                <w:sz w:val="18"/>
                <w:szCs w:val="18"/>
              </w:rPr>
            </w:pPr>
            <w:r>
              <w:rPr>
                <w:rFonts w:ascii="Arial" w:eastAsia="宋体" w:hAnsi="Arial" w:cs="Arial"/>
                <w:color w:val="0071C5"/>
                <w:sz w:val="18"/>
                <w:szCs w:val="18"/>
              </w:rPr>
              <w:t>(3)%</w:t>
            </w:r>
          </w:p>
        </w:tc>
        <w:tc>
          <w:tcPr>
            <w:tcW w:w="0" w:type="auto"/>
            <w:shd w:val="clear" w:color="auto" w:fill="auto"/>
            <w:tcMar>
              <w:top w:w="40" w:type="dxa"/>
              <w:left w:w="40" w:type="dxa"/>
              <w:bottom w:w="40" w:type="dxa"/>
              <w:right w:w="40" w:type="dxa"/>
            </w:tcMar>
            <w:vAlign w:val="bottom"/>
          </w:tcPr>
          <w:p w14:paraId="3750F05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3750F054" w14:textId="77777777" w:rsidR="002541AD" w:rsidRDefault="00901AA6">
            <w:pPr>
              <w:jc w:val="right"/>
              <w:textAlignment w:val="center"/>
              <w:rPr>
                <w:rFonts w:ascii="Times New Roman" w:hAnsi="Times New Roman"/>
                <w:sz w:val="18"/>
                <w:szCs w:val="18"/>
              </w:rPr>
            </w:pPr>
            <w:r>
              <w:rPr>
                <w:rFonts w:ascii="Arial" w:eastAsia="宋体" w:hAnsi="Arial" w:cs="Arial"/>
                <w:color w:val="0071C5"/>
                <w:sz w:val="18"/>
                <w:szCs w:val="18"/>
              </w:rPr>
              <w:t>(169</w:t>
            </w:r>
          </w:p>
        </w:tc>
        <w:tc>
          <w:tcPr>
            <w:tcW w:w="0" w:type="auto"/>
            <w:shd w:val="clear" w:color="auto" w:fill="auto"/>
            <w:tcMar>
              <w:top w:w="40" w:type="dxa"/>
              <w:bottom w:w="40" w:type="dxa"/>
              <w:right w:w="40" w:type="dxa"/>
            </w:tcMar>
            <w:vAlign w:val="center"/>
          </w:tcPr>
          <w:p w14:paraId="3750F055" w14:textId="77777777" w:rsidR="002541AD" w:rsidRDefault="00901AA6">
            <w:pPr>
              <w:textAlignment w:val="center"/>
              <w:rPr>
                <w:rFonts w:ascii="Times New Roman" w:hAnsi="Times New Roman"/>
                <w:sz w:val="18"/>
                <w:szCs w:val="18"/>
              </w:rPr>
            </w:pPr>
            <w:r>
              <w:rPr>
                <w:rFonts w:ascii="Arial" w:eastAsia="宋体" w:hAnsi="Arial" w:cs="Arial"/>
                <w:color w:val="0071C5"/>
                <w:sz w:val="18"/>
                <w:szCs w:val="18"/>
              </w:rPr>
              <w:t>)</w:t>
            </w:r>
          </w:p>
        </w:tc>
      </w:tr>
      <w:tr w:rsidR="002541AD" w14:paraId="3750F05E" w14:textId="77777777">
        <w:tc>
          <w:tcPr>
            <w:tcW w:w="0" w:type="auto"/>
            <w:shd w:val="clear" w:color="auto" w:fill="auto"/>
            <w:tcMar>
              <w:top w:w="40" w:type="dxa"/>
              <w:left w:w="40" w:type="dxa"/>
              <w:bottom w:w="40" w:type="dxa"/>
              <w:right w:w="40" w:type="dxa"/>
            </w:tcMar>
            <w:vAlign w:val="bottom"/>
          </w:tcPr>
          <w:p w14:paraId="3750F057"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xml:space="preserve">Adjacent products and </w:t>
            </w:r>
            <w:r>
              <w:rPr>
                <w:rFonts w:ascii="Arial" w:eastAsia="宋体" w:hAnsi="Arial" w:cs="Arial"/>
                <w:color w:val="333333"/>
                <w:sz w:val="18"/>
                <w:szCs w:val="18"/>
              </w:rPr>
              <w:t>other</w:t>
            </w:r>
          </w:p>
        </w:tc>
        <w:tc>
          <w:tcPr>
            <w:tcW w:w="0" w:type="auto"/>
            <w:shd w:val="clear" w:color="auto" w:fill="auto"/>
            <w:tcMar>
              <w:top w:w="40" w:type="dxa"/>
              <w:left w:w="40" w:type="dxa"/>
              <w:bottom w:w="40" w:type="dxa"/>
              <w:right w:w="40" w:type="dxa"/>
            </w:tcMar>
            <w:vAlign w:val="bottom"/>
          </w:tcPr>
          <w:p w14:paraId="3750F05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05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05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05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3750F05C" w14:textId="77777777" w:rsidR="002541AD" w:rsidRDefault="00901AA6">
            <w:pPr>
              <w:jc w:val="right"/>
              <w:textAlignment w:val="center"/>
              <w:rPr>
                <w:rFonts w:ascii="Times New Roman" w:hAnsi="Times New Roman"/>
                <w:sz w:val="18"/>
                <w:szCs w:val="18"/>
              </w:rPr>
            </w:pPr>
            <w:r>
              <w:rPr>
                <w:rFonts w:ascii="Arial" w:eastAsia="宋体" w:hAnsi="Arial" w:cs="Arial"/>
                <w:color w:val="0071C5"/>
                <w:sz w:val="18"/>
                <w:szCs w:val="18"/>
              </w:rPr>
              <w:t>304</w:t>
            </w:r>
          </w:p>
        </w:tc>
        <w:tc>
          <w:tcPr>
            <w:tcW w:w="0" w:type="auto"/>
            <w:shd w:val="clear" w:color="auto" w:fill="auto"/>
            <w:vAlign w:val="bottom"/>
          </w:tcPr>
          <w:p w14:paraId="3750F05D" w14:textId="77777777" w:rsidR="002541AD" w:rsidRDefault="002541AD">
            <w:pPr>
              <w:textAlignment w:val="bottom"/>
              <w:rPr>
                <w:rFonts w:ascii="Times New Roman" w:hAnsi="Times New Roman"/>
                <w:sz w:val="20"/>
                <w:szCs w:val="20"/>
              </w:rPr>
            </w:pPr>
          </w:p>
        </w:tc>
      </w:tr>
      <w:tr w:rsidR="002541AD" w14:paraId="3750F065" w14:textId="77777777">
        <w:tc>
          <w:tcPr>
            <w:tcW w:w="0" w:type="auto"/>
            <w:shd w:val="clear" w:color="auto" w:fill="auto"/>
            <w:tcMar>
              <w:top w:w="40" w:type="dxa"/>
              <w:left w:w="40" w:type="dxa"/>
              <w:bottom w:w="40" w:type="dxa"/>
              <w:right w:w="40" w:type="dxa"/>
            </w:tcMar>
            <w:vAlign w:val="bottom"/>
          </w:tcPr>
          <w:p w14:paraId="3750F05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06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06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06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06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F06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06E" w14:textId="77777777">
        <w:tc>
          <w:tcPr>
            <w:tcW w:w="0" w:type="auto"/>
            <w:shd w:val="clear" w:color="auto" w:fill="auto"/>
            <w:tcMar>
              <w:top w:w="40" w:type="dxa"/>
              <w:left w:w="40" w:type="dxa"/>
              <w:bottom w:w="40" w:type="dxa"/>
              <w:right w:w="40" w:type="dxa"/>
            </w:tcMar>
            <w:vAlign w:val="bottom"/>
          </w:tcPr>
          <w:p w14:paraId="3750F066"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Total change in revenue</w:t>
            </w:r>
          </w:p>
        </w:tc>
        <w:tc>
          <w:tcPr>
            <w:tcW w:w="0" w:type="auto"/>
            <w:shd w:val="clear" w:color="auto" w:fill="auto"/>
            <w:tcMar>
              <w:top w:w="40" w:type="dxa"/>
              <w:left w:w="40" w:type="dxa"/>
              <w:bottom w:w="40" w:type="dxa"/>
              <w:right w:w="40" w:type="dxa"/>
            </w:tcMar>
            <w:vAlign w:val="bottom"/>
          </w:tcPr>
          <w:p w14:paraId="3750F06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06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06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06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F06B"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F06C"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1,189</w:t>
            </w:r>
          </w:p>
        </w:tc>
        <w:tc>
          <w:tcPr>
            <w:tcW w:w="0" w:type="auto"/>
            <w:tcBorders>
              <w:top w:val="single" w:sz="8" w:space="0" w:color="333333"/>
              <w:bottom w:val="double" w:sz="6" w:space="0" w:color="333333"/>
            </w:tcBorders>
            <w:shd w:val="clear" w:color="auto" w:fill="auto"/>
            <w:vAlign w:val="bottom"/>
          </w:tcPr>
          <w:p w14:paraId="3750F06D" w14:textId="77777777" w:rsidR="002541AD" w:rsidRDefault="002541AD">
            <w:pPr>
              <w:textAlignment w:val="bottom"/>
              <w:rPr>
                <w:rFonts w:ascii="Times New Roman" w:hAnsi="Times New Roman"/>
                <w:sz w:val="20"/>
                <w:szCs w:val="20"/>
              </w:rPr>
            </w:pPr>
          </w:p>
        </w:tc>
      </w:tr>
    </w:tbl>
    <w:p w14:paraId="3750F06F" w14:textId="77777777" w:rsidR="002541AD" w:rsidRDefault="002541AD">
      <w:pPr>
        <w:rPr>
          <w:vanish/>
        </w:rPr>
      </w:pPr>
    </w:p>
    <w:tbl>
      <w:tblPr>
        <w:tblW w:w="5000" w:type="pct"/>
        <w:tblCellMar>
          <w:left w:w="0" w:type="dxa"/>
          <w:right w:w="0" w:type="dxa"/>
        </w:tblCellMar>
        <w:tblLook w:val="04A0" w:firstRow="1" w:lastRow="0" w:firstColumn="1" w:lastColumn="0" w:noHBand="0" w:noVBand="1"/>
      </w:tblPr>
      <w:tblGrid>
        <w:gridCol w:w="8306"/>
      </w:tblGrid>
      <w:tr w:rsidR="002541AD" w14:paraId="3750F071" w14:textId="77777777">
        <w:tc>
          <w:tcPr>
            <w:tcW w:w="0" w:type="auto"/>
            <w:shd w:val="clear" w:color="auto" w:fill="auto"/>
            <w:vAlign w:val="center"/>
          </w:tcPr>
          <w:p w14:paraId="3750F070" w14:textId="77777777" w:rsidR="002541AD" w:rsidRDefault="002541AD">
            <w:pPr>
              <w:rPr>
                <w:rFonts w:ascii="Times New Roman" w:hAnsi="Times New Roman"/>
                <w:sz w:val="20"/>
                <w:szCs w:val="20"/>
              </w:rPr>
            </w:pPr>
          </w:p>
        </w:tc>
      </w:tr>
      <w:tr w:rsidR="002541AD" w14:paraId="3750F073" w14:textId="77777777">
        <w:tc>
          <w:tcPr>
            <w:tcW w:w="5000" w:type="pct"/>
            <w:shd w:val="clear" w:color="auto" w:fill="auto"/>
            <w:vAlign w:val="center"/>
          </w:tcPr>
          <w:p w14:paraId="3750F072" w14:textId="77777777" w:rsidR="002541AD" w:rsidRDefault="002541AD">
            <w:pPr>
              <w:rPr>
                <w:rFonts w:ascii="Times New Roman" w:hAnsi="Times New Roman"/>
                <w:sz w:val="20"/>
                <w:szCs w:val="20"/>
              </w:rPr>
            </w:pPr>
          </w:p>
        </w:tc>
      </w:tr>
      <w:tr w:rsidR="002541AD" w14:paraId="3750F075"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3750F074" w14:textId="77777777" w:rsidR="002541AD" w:rsidRDefault="00901AA6">
            <w:pPr>
              <w:textAlignment w:val="bottom"/>
              <w:rPr>
                <w:rFonts w:ascii="Times New Roman" w:hAnsi="Times New Roman"/>
                <w:sz w:val="20"/>
                <w:szCs w:val="20"/>
              </w:rPr>
            </w:pPr>
            <w:r>
              <w:rPr>
                <w:rFonts w:ascii="Arial" w:eastAsia="宋体" w:hAnsi="Arial" w:cs="Arial"/>
                <w:b/>
                <w:bCs/>
                <w:color w:val="0071C5"/>
                <w:sz w:val="20"/>
                <w:szCs w:val="20"/>
              </w:rPr>
              <w:t>OPERATING INCOME SUMMARY</w:t>
            </w:r>
          </w:p>
        </w:tc>
      </w:tr>
    </w:tbl>
    <w:p w14:paraId="3750F076" w14:textId="77777777" w:rsidR="002541AD" w:rsidRDefault="00901AA6">
      <w:pPr>
        <w:spacing w:line="288" w:lineRule="auto"/>
        <w:rPr>
          <w:rFonts w:ascii="Times New Roman" w:hAnsi="Times New Roman"/>
          <w:sz w:val="20"/>
          <w:szCs w:val="20"/>
        </w:rPr>
      </w:pPr>
      <w:r>
        <w:rPr>
          <w:rFonts w:ascii="Arial" w:eastAsia="宋体" w:hAnsi="Arial" w:cs="Arial"/>
          <w:color w:val="333333"/>
          <w:sz w:val="18"/>
          <w:szCs w:val="18"/>
        </w:rPr>
        <w:t xml:space="preserve">Operating income in Q1 2020 increased 38% from Q1 2019, with an operating margin of 43%. </w:t>
      </w:r>
    </w:p>
    <w:tbl>
      <w:tblPr>
        <w:tblW w:w="5000" w:type="pct"/>
        <w:tblCellMar>
          <w:left w:w="0" w:type="dxa"/>
          <w:right w:w="0" w:type="dxa"/>
        </w:tblCellMar>
        <w:tblLook w:val="04A0" w:firstRow="1" w:lastRow="0" w:firstColumn="1" w:lastColumn="0" w:noHBand="0" w:noVBand="1"/>
      </w:tblPr>
      <w:tblGrid>
        <w:gridCol w:w="142"/>
        <w:gridCol w:w="769"/>
        <w:gridCol w:w="100"/>
        <w:gridCol w:w="130"/>
        <w:gridCol w:w="7165"/>
      </w:tblGrid>
      <w:tr w:rsidR="002541AD" w14:paraId="3750F078" w14:textId="77777777">
        <w:tc>
          <w:tcPr>
            <w:tcW w:w="0" w:type="auto"/>
            <w:gridSpan w:val="5"/>
            <w:shd w:val="clear" w:color="auto" w:fill="auto"/>
            <w:vAlign w:val="center"/>
          </w:tcPr>
          <w:p w14:paraId="3750F077" w14:textId="77777777" w:rsidR="002541AD" w:rsidRDefault="002541AD">
            <w:pPr>
              <w:rPr>
                <w:rFonts w:ascii="Times New Roman" w:hAnsi="Times New Roman"/>
                <w:sz w:val="20"/>
                <w:szCs w:val="20"/>
              </w:rPr>
            </w:pPr>
          </w:p>
        </w:tc>
      </w:tr>
      <w:tr w:rsidR="002541AD" w14:paraId="3750F07E" w14:textId="77777777">
        <w:tc>
          <w:tcPr>
            <w:tcW w:w="50" w:type="pct"/>
            <w:shd w:val="clear" w:color="auto" w:fill="auto"/>
            <w:vAlign w:val="center"/>
          </w:tcPr>
          <w:p w14:paraId="3750F079" w14:textId="77777777" w:rsidR="002541AD" w:rsidRDefault="002541AD">
            <w:pPr>
              <w:rPr>
                <w:rFonts w:ascii="Times New Roman" w:hAnsi="Times New Roman"/>
                <w:sz w:val="20"/>
                <w:szCs w:val="20"/>
              </w:rPr>
            </w:pPr>
          </w:p>
        </w:tc>
        <w:tc>
          <w:tcPr>
            <w:tcW w:w="500" w:type="pct"/>
            <w:shd w:val="clear" w:color="auto" w:fill="auto"/>
            <w:vAlign w:val="center"/>
          </w:tcPr>
          <w:p w14:paraId="3750F07A" w14:textId="77777777" w:rsidR="002541AD" w:rsidRDefault="002541AD">
            <w:pPr>
              <w:rPr>
                <w:rFonts w:ascii="Times New Roman" w:hAnsi="Times New Roman"/>
                <w:sz w:val="20"/>
                <w:szCs w:val="20"/>
              </w:rPr>
            </w:pPr>
          </w:p>
        </w:tc>
        <w:tc>
          <w:tcPr>
            <w:tcW w:w="50" w:type="pct"/>
            <w:shd w:val="clear" w:color="auto" w:fill="auto"/>
            <w:vAlign w:val="center"/>
          </w:tcPr>
          <w:p w14:paraId="3750F07B" w14:textId="77777777" w:rsidR="002541AD" w:rsidRDefault="002541AD">
            <w:pPr>
              <w:rPr>
                <w:rFonts w:ascii="Times New Roman" w:hAnsi="Times New Roman"/>
                <w:sz w:val="20"/>
                <w:szCs w:val="20"/>
              </w:rPr>
            </w:pPr>
          </w:p>
        </w:tc>
        <w:tc>
          <w:tcPr>
            <w:tcW w:w="50" w:type="pct"/>
            <w:shd w:val="clear" w:color="auto" w:fill="auto"/>
            <w:vAlign w:val="center"/>
          </w:tcPr>
          <w:p w14:paraId="3750F07C" w14:textId="77777777" w:rsidR="002541AD" w:rsidRDefault="002541AD">
            <w:pPr>
              <w:rPr>
                <w:rFonts w:ascii="Times New Roman" w:hAnsi="Times New Roman"/>
                <w:sz w:val="20"/>
                <w:szCs w:val="20"/>
              </w:rPr>
            </w:pPr>
          </w:p>
        </w:tc>
        <w:tc>
          <w:tcPr>
            <w:tcW w:w="4350" w:type="pct"/>
            <w:shd w:val="clear" w:color="auto" w:fill="auto"/>
            <w:vAlign w:val="center"/>
          </w:tcPr>
          <w:p w14:paraId="3750F07D" w14:textId="77777777" w:rsidR="002541AD" w:rsidRDefault="002541AD">
            <w:pPr>
              <w:rPr>
                <w:rFonts w:ascii="Times New Roman" w:hAnsi="Times New Roman"/>
                <w:sz w:val="20"/>
                <w:szCs w:val="20"/>
              </w:rPr>
            </w:pPr>
          </w:p>
        </w:tc>
      </w:tr>
      <w:tr w:rsidR="002541AD" w14:paraId="3750F082" w14:textId="77777777">
        <w:tc>
          <w:tcPr>
            <w:tcW w:w="0" w:type="auto"/>
            <w:gridSpan w:val="3"/>
            <w:shd w:val="clear" w:color="auto" w:fill="auto"/>
            <w:tcMar>
              <w:top w:w="40" w:type="dxa"/>
              <w:left w:w="40" w:type="dxa"/>
              <w:bottom w:w="40" w:type="dxa"/>
              <w:right w:w="40" w:type="dxa"/>
            </w:tcMar>
            <w:vAlign w:val="bottom"/>
          </w:tcPr>
          <w:p w14:paraId="3750F07F"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F08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08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088" w14:textId="77777777">
        <w:tc>
          <w:tcPr>
            <w:tcW w:w="0" w:type="auto"/>
            <w:tcBorders>
              <w:top w:val="single" w:sz="8" w:space="0" w:color="0071C5"/>
            </w:tcBorders>
            <w:shd w:val="clear" w:color="auto" w:fill="auto"/>
            <w:tcMar>
              <w:top w:w="40" w:type="dxa"/>
              <w:left w:w="40" w:type="dxa"/>
              <w:bottom w:w="40" w:type="dxa"/>
            </w:tcMar>
            <w:vAlign w:val="bottom"/>
          </w:tcPr>
          <w:p w14:paraId="3750F083"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3750F084"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4,225</w:t>
            </w:r>
          </w:p>
        </w:tc>
        <w:tc>
          <w:tcPr>
            <w:tcW w:w="0" w:type="auto"/>
            <w:tcBorders>
              <w:top w:val="single" w:sz="8" w:space="0" w:color="0071C5"/>
            </w:tcBorders>
            <w:shd w:val="clear" w:color="auto" w:fill="auto"/>
            <w:vAlign w:val="bottom"/>
          </w:tcPr>
          <w:p w14:paraId="3750F08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08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087"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Q1 2020 CCG Operating Income</w:t>
            </w:r>
          </w:p>
        </w:tc>
      </w:tr>
      <w:tr w:rsidR="002541AD" w14:paraId="3750F08D" w14:textId="77777777">
        <w:tc>
          <w:tcPr>
            <w:tcW w:w="0" w:type="auto"/>
            <w:gridSpan w:val="2"/>
            <w:tcBorders>
              <w:top w:val="single" w:sz="8" w:space="0" w:color="333333"/>
            </w:tcBorders>
            <w:shd w:val="clear" w:color="auto" w:fill="auto"/>
            <w:tcMar>
              <w:top w:w="40" w:type="dxa"/>
              <w:left w:w="40" w:type="dxa"/>
              <w:bottom w:w="40" w:type="dxa"/>
            </w:tcMar>
          </w:tcPr>
          <w:p w14:paraId="3750F089" w14:textId="77777777" w:rsidR="002541AD" w:rsidRDefault="00901AA6">
            <w:pPr>
              <w:jc w:val="right"/>
              <w:textAlignment w:val="top"/>
              <w:rPr>
                <w:rFonts w:ascii="Times New Roman" w:hAnsi="Times New Roman"/>
                <w:sz w:val="18"/>
                <w:szCs w:val="18"/>
              </w:rPr>
            </w:pPr>
            <w:r>
              <w:rPr>
                <w:rFonts w:ascii="Arial" w:eastAsia="宋体" w:hAnsi="Arial" w:cs="Arial"/>
                <w:color w:val="0071C5"/>
                <w:sz w:val="18"/>
                <w:szCs w:val="18"/>
              </w:rPr>
              <w:t>710</w:t>
            </w:r>
          </w:p>
        </w:tc>
        <w:tc>
          <w:tcPr>
            <w:tcW w:w="0" w:type="auto"/>
            <w:tcBorders>
              <w:top w:val="single" w:sz="8" w:space="0" w:color="333333"/>
            </w:tcBorders>
            <w:shd w:val="clear" w:color="auto" w:fill="auto"/>
            <w:vAlign w:val="bottom"/>
          </w:tcPr>
          <w:p w14:paraId="3750F08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08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tcBorders>
            <w:shd w:val="clear" w:color="auto" w:fill="auto"/>
            <w:tcMar>
              <w:top w:w="40" w:type="dxa"/>
              <w:left w:w="40" w:type="dxa"/>
              <w:bottom w:w="40" w:type="dxa"/>
              <w:right w:w="40" w:type="dxa"/>
            </w:tcMar>
          </w:tcPr>
          <w:p w14:paraId="3750F08C" w14:textId="77777777" w:rsidR="002541AD" w:rsidRDefault="00901AA6">
            <w:pPr>
              <w:textAlignment w:val="top"/>
              <w:rPr>
                <w:rFonts w:ascii="Times New Roman" w:hAnsi="Times New Roman"/>
                <w:sz w:val="18"/>
                <w:szCs w:val="18"/>
              </w:rPr>
            </w:pPr>
            <w:r>
              <w:rPr>
                <w:rFonts w:ascii="Arial" w:eastAsia="宋体" w:hAnsi="Arial" w:cs="Arial"/>
                <w:color w:val="0071C5"/>
                <w:sz w:val="18"/>
                <w:szCs w:val="18"/>
              </w:rPr>
              <w:t>Higher gross margin from platform revenue</w:t>
            </w:r>
          </w:p>
        </w:tc>
      </w:tr>
      <w:tr w:rsidR="002541AD" w14:paraId="3750F092" w14:textId="77777777">
        <w:tc>
          <w:tcPr>
            <w:tcW w:w="0" w:type="auto"/>
            <w:gridSpan w:val="2"/>
            <w:shd w:val="clear" w:color="auto" w:fill="auto"/>
            <w:tcMar>
              <w:top w:w="40" w:type="dxa"/>
              <w:left w:w="40" w:type="dxa"/>
              <w:bottom w:w="40" w:type="dxa"/>
            </w:tcMar>
          </w:tcPr>
          <w:p w14:paraId="3750F08E" w14:textId="77777777" w:rsidR="002541AD" w:rsidRDefault="00901AA6">
            <w:pPr>
              <w:jc w:val="right"/>
              <w:textAlignment w:val="top"/>
              <w:rPr>
                <w:rFonts w:ascii="Times New Roman" w:hAnsi="Times New Roman"/>
                <w:sz w:val="18"/>
                <w:szCs w:val="18"/>
              </w:rPr>
            </w:pPr>
            <w:r>
              <w:rPr>
                <w:rFonts w:ascii="Arial" w:eastAsia="宋体" w:hAnsi="Arial" w:cs="Arial"/>
                <w:color w:val="0071C5"/>
                <w:sz w:val="18"/>
                <w:szCs w:val="18"/>
              </w:rPr>
              <w:t>700</w:t>
            </w:r>
          </w:p>
        </w:tc>
        <w:tc>
          <w:tcPr>
            <w:tcW w:w="0" w:type="auto"/>
            <w:shd w:val="clear" w:color="auto" w:fill="auto"/>
            <w:vAlign w:val="bottom"/>
          </w:tcPr>
          <w:p w14:paraId="3750F08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09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091" w14:textId="77777777" w:rsidR="002541AD" w:rsidRDefault="00901AA6">
            <w:pPr>
              <w:textAlignment w:val="top"/>
              <w:rPr>
                <w:rFonts w:ascii="Times New Roman" w:hAnsi="Times New Roman"/>
                <w:sz w:val="18"/>
                <w:szCs w:val="18"/>
              </w:rPr>
            </w:pPr>
            <w:r>
              <w:rPr>
                <w:rFonts w:ascii="Arial" w:eastAsia="宋体" w:hAnsi="Arial" w:cs="Arial"/>
                <w:color w:val="0071C5"/>
                <w:sz w:val="18"/>
                <w:szCs w:val="18"/>
              </w:rPr>
              <w:t xml:space="preserve">Lower period charges primarily due to </w:t>
            </w:r>
            <w:r>
              <w:rPr>
                <w:rFonts w:ascii="Arial" w:eastAsia="宋体" w:hAnsi="Arial" w:cs="Arial"/>
                <w:color w:val="0071C5"/>
                <w:sz w:val="18"/>
                <w:szCs w:val="18"/>
              </w:rPr>
              <w:t>2019 reserved non-qualified platform product</w:t>
            </w:r>
          </w:p>
        </w:tc>
      </w:tr>
      <w:tr w:rsidR="002541AD" w14:paraId="3750F097" w14:textId="77777777">
        <w:tc>
          <w:tcPr>
            <w:tcW w:w="0" w:type="auto"/>
            <w:gridSpan w:val="2"/>
            <w:shd w:val="clear" w:color="auto" w:fill="auto"/>
            <w:tcMar>
              <w:top w:w="40" w:type="dxa"/>
              <w:left w:w="40" w:type="dxa"/>
              <w:bottom w:w="40" w:type="dxa"/>
            </w:tcMar>
          </w:tcPr>
          <w:p w14:paraId="3750F093" w14:textId="77777777" w:rsidR="002541AD" w:rsidRDefault="00901AA6">
            <w:pPr>
              <w:jc w:val="right"/>
              <w:textAlignment w:val="top"/>
              <w:rPr>
                <w:rFonts w:ascii="Times New Roman" w:hAnsi="Times New Roman"/>
                <w:sz w:val="18"/>
                <w:szCs w:val="18"/>
              </w:rPr>
            </w:pPr>
            <w:r>
              <w:rPr>
                <w:rFonts w:ascii="Arial" w:eastAsia="宋体" w:hAnsi="Arial" w:cs="Arial"/>
                <w:color w:val="0071C5"/>
                <w:sz w:val="18"/>
                <w:szCs w:val="18"/>
              </w:rPr>
              <w:t>305</w:t>
            </w:r>
          </w:p>
        </w:tc>
        <w:tc>
          <w:tcPr>
            <w:tcW w:w="0" w:type="auto"/>
            <w:shd w:val="clear" w:color="auto" w:fill="auto"/>
            <w:vAlign w:val="bottom"/>
          </w:tcPr>
          <w:p w14:paraId="3750F09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09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096" w14:textId="77777777" w:rsidR="002541AD" w:rsidRDefault="00901AA6">
            <w:pPr>
              <w:textAlignment w:val="top"/>
              <w:rPr>
                <w:rFonts w:ascii="Times New Roman" w:hAnsi="Times New Roman"/>
                <w:sz w:val="18"/>
                <w:szCs w:val="18"/>
              </w:rPr>
            </w:pPr>
            <w:r>
              <w:rPr>
                <w:rFonts w:ascii="Arial" w:eastAsia="宋体" w:hAnsi="Arial" w:cs="Arial"/>
                <w:color w:val="0071C5"/>
                <w:sz w:val="18"/>
                <w:szCs w:val="18"/>
              </w:rPr>
              <w:t>Lower operating expenses driven by lower investments in modem</w:t>
            </w:r>
          </w:p>
        </w:tc>
      </w:tr>
      <w:tr w:rsidR="002541AD" w14:paraId="3750F09C" w14:textId="77777777">
        <w:tc>
          <w:tcPr>
            <w:tcW w:w="0" w:type="auto"/>
            <w:gridSpan w:val="2"/>
            <w:shd w:val="clear" w:color="auto" w:fill="auto"/>
            <w:tcMar>
              <w:top w:w="40" w:type="dxa"/>
              <w:left w:w="40" w:type="dxa"/>
              <w:bottom w:w="40" w:type="dxa"/>
            </w:tcMar>
          </w:tcPr>
          <w:p w14:paraId="3750F098" w14:textId="77777777" w:rsidR="002541AD" w:rsidRDefault="00901AA6">
            <w:pPr>
              <w:jc w:val="right"/>
              <w:textAlignment w:val="top"/>
              <w:rPr>
                <w:rFonts w:ascii="Times New Roman" w:hAnsi="Times New Roman"/>
                <w:sz w:val="18"/>
                <w:szCs w:val="18"/>
              </w:rPr>
            </w:pPr>
            <w:r>
              <w:rPr>
                <w:rFonts w:ascii="Arial" w:eastAsia="宋体" w:hAnsi="Arial" w:cs="Arial"/>
                <w:color w:val="0071C5"/>
                <w:sz w:val="18"/>
                <w:szCs w:val="18"/>
              </w:rPr>
              <w:t>(590</w:t>
            </w:r>
          </w:p>
        </w:tc>
        <w:tc>
          <w:tcPr>
            <w:tcW w:w="0" w:type="auto"/>
            <w:shd w:val="clear" w:color="auto" w:fill="auto"/>
            <w:tcMar>
              <w:top w:w="40" w:type="dxa"/>
              <w:bottom w:w="40" w:type="dxa"/>
              <w:right w:w="40" w:type="dxa"/>
            </w:tcMar>
          </w:tcPr>
          <w:p w14:paraId="3750F099" w14:textId="77777777" w:rsidR="002541AD" w:rsidRDefault="00901AA6">
            <w:pPr>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F09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09B" w14:textId="77777777" w:rsidR="002541AD" w:rsidRDefault="00901AA6">
            <w:pPr>
              <w:textAlignment w:val="top"/>
              <w:rPr>
                <w:rFonts w:ascii="Times New Roman" w:hAnsi="Times New Roman"/>
                <w:sz w:val="18"/>
                <w:szCs w:val="18"/>
              </w:rPr>
            </w:pPr>
            <w:r>
              <w:rPr>
                <w:rFonts w:ascii="Arial" w:eastAsia="宋体" w:hAnsi="Arial" w:cs="Arial"/>
                <w:color w:val="0071C5"/>
                <w:sz w:val="18"/>
                <w:szCs w:val="18"/>
              </w:rPr>
              <w:t>Higher platform unit cost due to ramp of 10nm products</w:t>
            </w:r>
          </w:p>
        </w:tc>
      </w:tr>
      <w:tr w:rsidR="002541AD" w14:paraId="3750F0A1" w14:textId="77777777">
        <w:tc>
          <w:tcPr>
            <w:tcW w:w="0" w:type="auto"/>
            <w:gridSpan w:val="2"/>
            <w:shd w:val="clear" w:color="auto" w:fill="auto"/>
            <w:tcMar>
              <w:top w:w="40" w:type="dxa"/>
              <w:left w:w="40" w:type="dxa"/>
              <w:bottom w:w="40" w:type="dxa"/>
            </w:tcMar>
          </w:tcPr>
          <w:p w14:paraId="3750F09D" w14:textId="77777777" w:rsidR="002541AD" w:rsidRDefault="00901AA6">
            <w:pPr>
              <w:jc w:val="right"/>
              <w:textAlignment w:val="top"/>
              <w:rPr>
                <w:rFonts w:ascii="Times New Roman" w:hAnsi="Times New Roman"/>
                <w:sz w:val="18"/>
                <w:szCs w:val="18"/>
              </w:rPr>
            </w:pPr>
            <w:r>
              <w:rPr>
                <w:rFonts w:ascii="Arial" w:eastAsia="宋体" w:hAnsi="Arial" w:cs="Arial"/>
                <w:color w:val="0071C5"/>
                <w:sz w:val="18"/>
                <w:szCs w:val="18"/>
              </w:rPr>
              <w:t>28</w:t>
            </w:r>
          </w:p>
        </w:tc>
        <w:tc>
          <w:tcPr>
            <w:tcW w:w="0" w:type="auto"/>
            <w:shd w:val="clear" w:color="auto" w:fill="auto"/>
            <w:vAlign w:val="bottom"/>
          </w:tcPr>
          <w:p w14:paraId="3750F09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09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0A0" w14:textId="77777777" w:rsidR="002541AD" w:rsidRDefault="00901AA6">
            <w:pPr>
              <w:textAlignment w:val="top"/>
              <w:rPr>
                <w:rFonts w:ascii="Times New Roman" w:hAnsi="Times New Roman"/>
                <w:sz w:val="18"/>
                <w:szCs w:val="18"/>
              </w:rPr>
            </w:pPr>
            <w:r>
              <w:rPr>
                <w:rFonts w:ascii="Arial" w:eastAsia="宋体" w:hAnsi="Arial" w:cs="Arial"/>
                <w:color w:val="0071C5"/>
                <w:sz w:val="18"/>
                <w:szCs w:val="18"/>
              </w:rPr>
              <w:t>Other</w:t>
            </w:r>
          </w:p>
        </w:tc>
      </w:tr>
      <w:tr w:rsidR="002541AD" w14:paraId="3750F0A7" w14:textId="77777777">
        <w:tc>
          <w:tcPr>
            <w:tcW w:w="0" w:type="auto"/>
            <w:tcBorders>
              <w:top w:val="single" w:sz="8" w:space="0" w:color="333333"/>
              <w:bottom w:val="single" w:sz="8" w:space="0" w:color="333333"/>
            </w:tcBorders>
            <w:shd w:val="clear" w:color="auto" w:fill="auto"/>
            <w:tcMar>
              <w:top w:w="40" w:type="dxa"/>
              <w:left w:w="40" w:type="dxa"/>
              <w:bottom w:w="40" w:type="dxa"/>
            </w:tcMar>
            <w:vAlign w:val="bottom"/>
          </w:tcPr>
          <w:p w14:paraId="3750F0A2"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single" w:sz="8" w:space="0" w:color="333333"/>
            </w:tcBorders>
            <w:shd w:val="clear" w:color="auto" w:fill="auto"/>
            <w:tcMar>
              <w:top w:w="40" w:type="dxa"/>
              <w:bottom w:w="40" w:type="dxa"/>
            </w:tcMar>
            <w:vAlign w:val="bottom"/>
          </w:tcPr>
          <w:p w14:paraId="3750F0A3"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3,072</w:t>
            </w:r>
          </w:p>
        </w:tc>
        <w:tc>
          <w:tcPr>
            <w:tcW w:w="0" w:type="auto"/>
            <w:tcBorders>
              <w:top w:val="single" w:sz="8" w:space="0" w:color="333333"/>
              <w:bottom w:val="single" w:sz="8" w:space="0" w:color="333333"/>
            </w:tcBorders>
            <w:shd w:val="clear" w:color="auto" w:fill="auto"/>
            <w:vAlign w:val="bottom"/>
          </w:tcPr>
          <w:p w14:paraId="3750F0A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0A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single" w:sz="8" w:space="0" w:color="333333"/>
            </w:tcBorders>
            <w:shd w:val="clear" w:color="auto" w:fill="auto"/>
            <w:tcMar>
              <w:top w:w="40" w:type="dxa"/>
              <w:left w:w="40" w:type="dxa"/>
              <w:bottom w:w="40" w:type="dxa"/>
              <w:right w:w="40" w:type="dxa"/>
            </w:tcMar>
            <w:vAlign w:val="bottom"/>
          </w:tcPr>
          <w:p w14:paraId="3750F0A6"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Q1 2019 CCG Operating Income</w:t>
            </w:r>
          </w:p>
        </w:tc>
      </w:tr>
    </w:tbl>
    <w:p w14:paraId="3750F0A8"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F0AA" w14:textId="77777777">
        <w:tc>
          <w:tcPr>
            <w:tcW w:w="0" w:type="auto"/>
            <w:gridSpan w:val="3"/>
            <w:shd w:val="clear" w:color="auto" w:fill="auto"/>
            <w:vAlign w:val="center"/>
          </w:tcPr>
          <w:p w14:paraId="3750F0A9" w14:textId="77777777" w:rsidR="002541AD" w:rsidRDefault="002541AD">
            <w:pPr>
              <w:rPr>
                <w:rFonts w:ascii="Times New Roman" w:hAnsi="Times New Roman"/>
                <w:sz w:val="20"/>
                <w:szCs w:val="20"/>
              </w:rPr>
            </w:pPr>
          </w:p>
        </w:tc>
      </w:tr>
      <w:tr w:rsidR="002541AD" w14:paraId="3750F0AE" w14:textId="77777777">
        <w:tc>
          <w:tcPr>
            <w:tcW w:w="1550" w:type="pct"/>
            <w:shd w:val="clear" w:color="auto" w:fill="auto"/>
            <w:vAlign w:val="center"/>
          </w:tcPr>
          <w:p w14:paraId="3750F0AB" w14:textId="77777777" w:rsidR="002541AD" w:rsidRDefault="002541AD">
            <w:pPr>
              <w:rPr>
                <w:rFonts w:ascii="Times New Roman" w:hAnsi="Times New Roman"/>
                <w:sz w:val="20"/>
                <w:szCs w:val="20"/>
              </w:rPr>
            </w:pPr>
          </w:p>
        </w:tc>
        <w:tc>
          <w:tcPr>
            <w:tcW w:w="2200" w:type="pct"/>
            <w:shd w:val="clear" w:color="auto" w:fill="auto"/>
            <w:vAlign w:val="center"/>
          </w:tcPr>
          <w:p w14:paraId="3750F0AC" w14:textId="77777777" w:rsidR="002541AD" w:rsidRDefault="002541AD">
            <w:pPr>
              <w:rPr>
                <w:rFonts w:ascii="Times New Roman" w:hAnsi="Times New Roman"/>
                <w:sz w:val="20"/>
                <w:szCs w:val="20"/>
              </w:rPr>
            </w:pPr>
          </w:p>
        </w:tc>
        <w:tc>
          <w:tcPr>
            <w:tcW w:w="1250" w:type="pct"/>
            <w:shd w:val="clear" w:color="auto" w:fill="auto"/>
            <w:vAlign w:val="center"/>
          </w:tcPr>
          <w:p w14:paraId="3750F0AD" w14:textId="77777777" w:rsidR="002541AD" w:rsidRDefault="002541AD">
            <w:pPr>
              <w:rPr>
                <w:rFonts w:ascii="Times New Roman" w:hAnsi="Times New Roman"/>
                <w:sz w:val="20"/>
                <w:szCs w:val="20"/>
              </w:rPr>
            </w:pPr>
          </w:p>
        </w:tc>
      </w:tr>
      <w:tr w:rsidR="002541AD" w14:paraId="3750F0B2"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F0AF"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AF" wp14:editId="3750F8B0">
                  <wp:extent cx="304800" cy="304800"/>
                  <wp:effectExtent l="0" t="0" r="0" b="0"/>
                  <wp:docPr id="25" name="图片 111"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1"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0B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0B1"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31</w:t>
            </w:r>
          </w:p>
        </w:tc>
      </w:tr>
    </w:tbl>
    <w:p w14:paraId="3750F0B3" w14:textId="77777777" w:rsidR="002541AD" w:rsidRDefault="002541AD">
      <w:pPr>
        <w:spacing w:line="288" w:lineRule="auto"/>
        <w:rPr>
          <w:rFonts w:ascii="Times New Roman" w:hAnsi="Times New Roman"/>
          <w:sz w:val="18"/>
          <w:szCs w:val="18"/>
        </w:rPr>
      </w:pPr>
    </w:p>
    <w:p w14:paraId="3750F0B4" w14:textId="77777777" w:rsidR="002541AD" w:rsidRDefault="00901AA6">
      <w:r>
        <w:rPr>
          <w:rFonts w:ascii="Times New Roman" w:hAnsi="Times New Roman"/>
          <w:sz w:val="18"/>
          <w:szCs w:val="18"/>
        </w:rPr>
        <w:pict w14:anchorId="3750F8B1">
          <v:rect id="_x0000_i1057" style="width:415.3pt;height:1.5pt" o:hralign="center" o:hrstd="t" o:hr="t" fillcolor="#a0a0a0" stroked="f"/>
        </w:pict>
      </w:r>
    </w:p>
    <w:p w14:paraId="3750F0B5" w14:textId="77777777" w:rsidR="002541AD" w:rsidRDefault="00901AA6">
      <w:pPr>
        <w:spacing w:line="288" w:lineRule="auto"/>
        <w:jc w:val="right"/>
        <w:rPr>
          <w:rFonts w:ascii="Times New Roman" w:hAnsi="Times New Roman"/>
          <w:sz w:val="16"/>
          <w:szCs w:val="16"/>
        </w:rPr>
      </w:pPr>
      <w:hyperlink r:id="rId60" w:anchor="s2CABEAF4222C52B4A34547BF538A8C27" w:history="1">
        <w:r>
          <w:rPr>
            <w:rStyle w:val="a5"/>
            <w:rFonts w:ascii="Arial" w:eastAsia="宋体" w:hAnsi="Arial" w:cs="Arial"/>
            <w:b/>
            <w:bCs/>
            <w:sz w:val="16"/>
            <w:szCs w:val="16"/>
          </w:rPr>
          <w:t>Table of Contents</w:t>
        </w:r>
      </w:hyperlink>
    </w:p>
    <w:p w14:paraId="3750F0B6" w14:textId="77777777" w:rsidR="002541AD" w:rsidRDefault="002541AD">
      <w:pPr>
        <w:spacing w:line="288" w:lineRule="auto"/>
        <w:jc w:val="right"/>
        <w:rPr>
          <w:rFonts w:ascii="Times New Roman" w:hAnsi="Times New Roman"/>
          <w:sz w:val="18"/>
          <w:szCs w:val="18"/>
        </w:rPr>
      </w:pPr>
    </w:p>
    <w:p w14:paraId="3750F0B7"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2541AD" w14:paraId="3750F0B9" w14:textId="77777777">
        <w:tc>
          <w:tcPr>
            <w:tcW w:w="0" w:type="auto"/>
            <w:shd w:val="clear" w:color="auto" w:fill="auto"/>
            <w:vAlign w:val="center"/>
          </w:tcPr>
          <w:p w14:paraId="3750F0B8" w14:textId="77777777" w:rsidR="002541AD" w:rsidRDefault="002541AD">
            <w:pPr>
              <w:rPr>
                <w:rFonts w:ascii="Times New Roman" w:hAnsi="Times New Roman"/>
                <w:sz w:val="20"/>
                <w:szCs w:val="20"/>
              </w:rPr>
            </w:pPr>
          </w:p>
        </w:tc>
      </w:tr>
      <w:tr w:rsidR="002541AD" w14:paraId="3750F0BB" w14:textId="77777777">
        <w:tc>
          <w:tcPr>
            <w:tcW w:w="5000" w:type="pct"/>
            <w:shd w:val="clear" w:color="auto" w:fill="auto"/>
            <w:vAlign w:val="center"/>
          </w:tcPr>
          <w:p w14:paraId="3750F0BA" w14:textId="77777777" w:rsidR="002541AD" w:rsidRDefault="002541AD">
            <w:pPr>
              <w:rPr>
                <w:rFonts w:ascii="Times New Roman" w:hAnsi="Times New Roman"/>
                <w:sz w:val="20"/>
                <w:szCs w:val="20"/>
              </w:rPr>
            </w:pPr>
          </w:p>
        </w:tc>
      </w:tr>
      <w:tr w:rsidR="002541AD" w14:paraId="3750F0BD" w14:textId="77777777">
        <w:tc>
          <w:tcPr>
            <w:tcW w:w="0" w:type="auto"/>
            <w:shd w:val="clear" w:color="auto" w:fill="0071C5"/>
            <w:tcMar>
              <w:top w:w="40" w:type="dxa"/>
              <w:left w:w="40" w:type="dxa"/>
              <w:bottom w:w="40" w:type="dxa"/>
              <w:right w:w="40" w:type="dxa"/>
            </w:tcMar>
            <w:vAlign w:val="bottom"/>
          </w:tcPr>
          <w:p w14:paraId="3750F0BC"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rPr>
              <w:t>CONSOLIDATED RESULTS OF OPERATIONS</w:t>
            </w:r>
          </w:p>
        </w:tc>
      </w:tr>
    </w:tbl>
    <w:p w14:paraId="3750F0BE" w14:textId="77777777" w:rsidR="002541AD" w:rsidRDefault="002541AD">
      <w:pPr>
        <w:rPr>
          <w:vanish/>
        </w:rPr>
      </w:pPr>
    </w:p>
    <w:tbl>
      <w:tblPr>
        <w:tblW w:w="5000" w:type="pct"/>
        <w:tblCellMar>
          <w:left w:w="0" w:type="dxa"/>
          <w:right w:w="0" w:type="dxa"/>
        </w:tblCellMar>
        <w:tblLook w:val="04A0" w:firstRow="1" w:lastRow="0" w:firstColumn="1" w:lastColumn="0" w:noHBand="0" w:noVBand="1"/>
      </w:tblPr>
      <w:tblGrid>
        <w:gridCol w:w="4204"/>
        <w:gridCol w:w="130"/>
        <w:gridCol w:w="141"/>
        <w:gridCol w:w="551"/>
        <w:gridCol w:w="100"/>
        <w:gridCol w:w="130"/>
        <w:gridCol w:w="739"/>
        <w:gridCol w:w="260"/>
        <w:gridCol w:w="130"/>
        <w:gridCol w:w="141"/>
        <w:gridCol w:w="551"/>
        <w:gridCol w:w="100"/>
        <w:gridCol w:w="130"/>
        <w:gridCol w:w="739"/>
        <w:gridCol w:w="260"/>
      </w:tblGrid>
      <w:tr w:rsidR="002541AD" w14:paraId="3750F0C0" w14:textId="77777777">
        <w:tc>
          <w:tcPr>
            <w:tcW w:w="0" w:type="auto"/>
            <w:gridSpan w:val="15"/>
            <w:shd w:val="clear" w:color="auto" w:fill="auto"/>
            <w:vAlign w:val="center"/>
          </w:tcPr>
          <w:p w14:paraId="3750F0BF" w14:textId="77777777" w:rsidR="002541AD" w:rsidRDefault="002541AD">
            <w:pPr>
              <w:rPr>
                <w:rFonts w:ascii="Times New Roman" w:hAnsi="Times New Roman"/>
                <w:sz w:val="20"/>
                <w:szCs w:val="20"/>
              </w:rPr>
            </w:pPr>
          </w:p>
        </w:tc>
      </w:tr>
      <w:tr w:rsidR="002541AD" w14:paraId="3750F0D0" w14:textId="77777777">
        <w:tc>
          <w:tcPr>
            <w:tcW w:w="3200" w:type="pct"/>
            <w:shd w:val="clear" w:color="auto" w:fill="auto"/>
            <w:vAlign w:val="center"/>
          </w:tcPr>
          <w:p w14:paraId="3750F0C1" w14:textId="77777777" w:rsidR="002541AD" w:rsidRDefault="002541AD">
            <w:pPr>
              <w:rPr>
                <w:rFonts w:ascii="Times New Roman" w:hAnsi="Times New Roman"/>
                <w:sz w:val="20"/>
                <w:szCs w:val="20"/>
              </w:rPr>
            </w:pPr>
          </w:p>
        </w:tc>
        <w:tc>
          <w:tcPr>
            <w:tcW w:w="50" w:type="pct"/>
            <w:shd w:val="clear" w:color="auto" w:fill="auto"/>
            <w:vAlign w:val="center"/>
          </w:tcPr>
          <w:p w14:paraId="3750F0C2" w14:textId="77777777" w:rsidR="002541AD" w:rsidRDefault="002541AD">
            <w:pPr>
              <w:rPr>
                <w:rFonts w:ascii="Times New Roman" w:hAnsi="Times New Roman"/>
                <w:sz w:val="20"/>
                <w:szCs w:val="20"/>
              </w:rPr>
            </w:pPr>
          </w:p>
        </w:tc>
        <w:tc>
          <w:tcPr>
            <w:tcW w:w="50" w:type="pct"/>
            <w:shd w:val="clear" w:color="auto" w:fill="auto"/>
            <w:vAlign w:val="center"/>
          </w:tcPr>
          <w:p w14:paraId="3750F0C3" w14:textId="77777777" w:rsidR="002541AD" w:rsidRDefault="002541AD">
            <w:pPr>
              <w:rPr>
                <w:rFonts w:ascii="Times New Roman" w:hAnsi="Times New Roman"/>
                <w:sz w:val="20"/>
                <w:szCs w:val="20"/>
              </w:rPr>
            </w:pPr>
          </w:p>
        </w:tc>
        <w:tc>
          <w:tcPr>
            <w:tcW w:w="250" w:type="pct"/>
            <w:shd w:val="clear" w:color="auto" w:fill="auto"/>
            <w:vAlign w:val="center"/>
          </w:tcPr>
          <w:p w14:paraId="3750F0C4" w14:textId="77777777" w:rsidR="002541AD" w:rsidRDefault="002541AD">
            <w:pPr>
              <w:rPr>
                <w:rFonts w:ascii="Times New Roman" w:hAnsi="Times New Roman"/>
                <w:sz w:val="20"/>
                <w:szCs w:val="20"/>
              </w:rPr>
            </w:pPr>
          </w:p>
        </w:tc>
        <w:tc>
          <w:tcPr>
            <w:tcW w:w="50" w:type="pct"/>
            <w:shd w:val="clear" w:color="auto" w:fill="auto"/>
            <w:vAlign w:val="center"/>
          </w:tcPr>
          <w:p w14:paraId="3750F0C5" w14:textId="77777777" w:rsidR="002541AD" w:rsidRDefault="002541AD">
            <w:pPr>
              <w:rPr>
                <w:rFonts w:ascii="Times New Roman" w:hAnsi="Times New Roman"/>
                <w:sz w:val="20"/>
                <w:szCs w:val="20"/>
              </w:rPr>
            </w:pPr>
          </w:p>
        </w:tc>
        <w:tc>
          <w:tcPr>
            <w:tcW w:w="50" w:type="pct"/>
            <w:shd w:val="clear" w:color="auto" w:fill="auto"/>
            <w:vAlign w:val="center"/>
          </w:tcPr>
          <w:p w14:paraId="3750F0C6" w14:textId="77777777" w:rsidR="002541AD" w:rsidRDefault="002541AD">
            <w:pPr>
              <w:rPr>
                <w:rFonts w:ascii="Times New Roman" w:hAnsi="Times New Roman"/>
                <w:sz w:val="20"/>
                <w:szCs w:val="20"/>
              </w:rPr>
            </w:pPr>
          </w:p>
        </w:tc>
        <w:tc>
          <w:tcPr>
            <w:tcW w:w="400" w:type="pct"/>
            <w:shd w:val="clear" w:color="auto" w:fill="auto"/>
            <w:vAlign w:val="center"/>
          </w:tcPr>
          <w:p w14:paraId="3750F0C7" w14:textId="77777777" w:rsidR="002541AD" w:rsidRDefault="002541AD">
            <w:pPr>
              <w:rPr>
                <w:rFonts w:ascii="Times New Roman" w:hAnsi="Times New Roman"/>
                <w:sz w:val="20"/>
                <w:szCs w:val="20"/>
              </w:rPr>
            </w:pPr>
          </w:p>
        </w:tc>
        <w:tc>
          <w:tcPr>
            <w:tcW w:w="50" w:type="pct"/>
            <w:shd w:val="clear" w:color="auto" w:fill="auto"/>
            <w:vAlign w:val="center"/>
          </w:tcPr>
          <w:p w14:paraId="3750F0C8" w14:textId="77777777" w:rsidR="002541AD" w:rsidRDefault="002541AD">
            <w:pPr>
              <w:rPr>
                <w:rFonts w:ascii="Times New Roman" w:hAnsi="Times New Roman"/>
                <w:sz w:val="20"/>
                <w:szCs w:val="20"/>
              </w:rPr>
            </w:pPr>
          </w:p>
        </w:tc>
        <w:tc>
          <w:tcPr>
            <w:tcW w:w="50" w:type="pct"/>
            <w:shd w:val="clear" w:color="auto" w:fill="auto"/>
            <w:vAlign w:val="center"/>
          </w:tcPr>
          <w:p w14:paraId="3750F0C9" w14:textId="77777777" w:rsidR="002541AD" w:rsidRDefault="002541AD">
            <w:pPr>
              <w:rPr>
                <w:rFonts w:ascii="Times New Roman" w:hAnsi="Times New Roman"/>
                <w:sz w:val="20"/>
                <w:szCs w:val="20"/>
              </w:rPr>
            </w:pPr>
          </w:p>
        </w:tc>
        <w:tc>
          <w:tcPr>
            <w:tcW w:w="50" w:type="pct"/>
            <w:shd w:val="clear" w:color="auto" w:fill="auto"/>
            <w:vAlign w:val="center"/>
          </w:tcPr>
          <w:p w14:paraId="3750F0CA" w14:textId="77777777" w:rsidR="002541AD" w:rsidRDefault="002541AD">
            <w:pPr>
              <w:rPr>
                <w:rFonts w:ascii="Times New Roman" w:hAnsi="Times New Roman"/>
                <w:sz w:val="20"/>
                <w:szCs w:val="20"/>
              </w:rPr>
            </w:pPr>
          </w:p>
        </w:tc>
        <w:tc>
          <w:tcPr>
            <w:tcW w:w="250" w:type="pct"/>
            <w:shd w:val="clear" w:color="auto" w:fill="auto"/>
            <w:vAlign w:val="center"/>
          </w:tcPr>
          <w:p w14:paraId="3750F0CB" w14:textId="77777777" w:rsidR="002541AD" w:rsidRDefault="002541AD">
            <w:pPr>
              <w:rPr>
                <w:rFonts w:ascii="Times New Roman" w:hAnsi="Times New Roman"/>
                <w:sz w:val="20"/>
                <w:szCs w:val="20"/>
              </w:rPr>
            </w:pPr>
          </w:p>
        </w:tc>
        <w:tc>
          <w:tcPr>
            <w:tcW w:w="50" w:type="pct"/>
            <w:shd w:val="clear" w:color="auto" w:fill="auto"/>
            <w:vAlign w:val="center"/>
          </w:tcPr>
          <w:p w14:paraId="3750F0CC" w14:textId="77777777" w:rsidR="002541AD" w:rsidRDefault="002541AD">
            <w:pPr>
              <w:rPr>
                <w:rFonts w:ascii="Times New Roman" w:hAnsi="Times New Roman"/>
                <w:sz w:val="20"/>
                <w:szCs w:val="20"/>
              </w:rPr>
            </w:pPr>
          </w:p>
        </w:tc>
        <w:tc>
          <w:tcPr>
            <w:tcW w:w="50" w:type="pct"/>
            <w:shd w:val="clear" w:color="auto" w:fill="auto"/>
            <w:vAlign w:val="center"/>
          </w:tcPr>
          <w:p w14:paraId="3750F0CD" w14:textId="77777777" w:rsidR="002541AD" w:rsidRDefault="002541AD">
            <w:pPr>
              <w:rPr>
                <w:rFonts w:ascii="Times New Roman" w:hAnsi="Times New Roman"/>
                <w:sz w:val="20"/>
                <w:szCs w:val="20"/>
              </w:rPr>
            </w:pPr>
          </w:p>
        </w:tc>
        <w:tc>
          <w:tcPr>
            <w:tcW w:w="400" w:type="pct"/>
            <w:shd w:val="clear" w:color="auto" w:fill="auto"/>
            <w:vAlign w:val="center"/>
          </w:tcPr>
          <w:p w14:paraId="3750F0CE" w14:textId="77777777" w:rsidR="002541AD" w:rsidRDefault="002541AD">
            <w:pPr>
              <w:rPr>
                <w:rFonts w:ascii="Times New Roman" w:hAnsi="Times New Roman"/>
                <w:sz w:val="20"/>
                <w:szCs w:val="20"/>
              </w:rPr>
            </w:pPr>
          </w:p>
        </w:tc>
        <w:tc>
          <w:tcPr>
            <w:tcW w:w="50" w:type="pct"/>
            <w:shd w:val="clear" w:color="auto" w:fill="auto"/>
            <w:vAlign w:val="center"/>
          </w:tcPr>
          <w:p w14:paraId="3750F0CF" w14:textId="77777777" w:rsidR="002541AD" w:rsidRDefault="002541AD">
            <w:pPr>
              <w:rPr>
                <w:rFonts w:ascii="Times New Roman" w:hAnsi="Times New Roman"/>
                <w:sz w:val="20"/>
                <w:szCs w:val="20"/>
              </w:rPr>
            </w:pPr>
          </w:p>
        </w:tc>
      </w:tr>
      <w:tr w:rsidR="002541AD" w14:paraId="3750F0D4" w14:textId="77777777">
        <w:tc>
          <w:tcPr>
            <w:tcW w:w="0" w:type="auto"/>
            <w:shd w:val="clear" w:color="auto" w:fill="auto"/>
            <w:tcMar>
              <w:top w:w="40" w:type="dxa"/>
              <w:left w:w="40" w:type="dxa"/>
              <w:bottom w:w="40" w:type="dxa"/>
              <w:right w:w="40" w:type="dxa"/>
            </w:tcMar>
            <w:vAlign w:val="bottom"/>
          </w:tcPr>
          <w:p w14:paraId="3750F0D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0D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tcBorders>
              <w:bottom w:val="single" w:sz="8" w:space="0" w:color="0071C5"/>
            </w:tcBorders>
            <w:shd w:val="clear" w:color="auto" w:fill="auto"/>
            <w:tcMar>
              <w:top w:w="40" w:type="dxa"/>
              <w:left w:w="40" w:type="dxa"/>
              <w:bottom w:w="40" w:type="dxa"/>
            </w:tcMar>
            <w:vAlign w:val="bottom"/>
          </w:tcPr>
          <w:p w14:paraId="3750F0D3"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Three </w:t>
            </w:r>
            <w:r>
              <w:rPr>
                <w:rFonts w:ascii="Arial" w:eastAsia="宋体" w:hAnsi="Arial" w:cs="Arial"/>
                <w:b/>
                <w:bCs/>
                <w:color w:val="333333"/>
                <w:sz w:val="18"/>
                <w:szCs w:val="18"/>
              </w:rPr>
              <w:t>Months Ended</w:t>
            </w:r>
          </w:p>
        </w:tc>
      </w:tr>
      <w:tr w:rsidR="002541AD" w14:paraId="3750F0DA" w14:textId="77777777">
        <w:tc>
          <w:tcPr>
            <w:tcW w:w="0" w:type="auto"/>
            <w:shd w:val="clear" w:color="auto" w:fill="auto"/>
            <w:tcMar>
              <w:top w:w="40" w:type="dxa"/>
              <w:left w:w="40" w:type="dxa"/>
              <w:bottom w:w="40" w:type="dxa"/>
              <w:right w:w="40" w:type="dxa"/>
            </w:tcMar>
            <w:vAlign w:val="bottom"/>
          </w:tcPr>
          <w:p w14:paraId="3750F0D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0D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71C5"/>
            </w:tcBorders>
            <w:shd w:val="clear" w:color="auto" w:fill="auto"/>
            <w:tcMar>
              <w:top w:w="40" w:type="dxa"/>
              <w:left w:w="40" w:type="dxa"/>
              <w:bottom w:w="40" w:type="dxa"/>
            </w:tcMar>
            <w:vAlign w:val="bottom"/>
          </w:tcPr>
          <w:p w14:paraId="3750F0D7"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Q1 2020</w:t>
            </w:r>
          </w:p>
        </w:tc>
        <w:tc>
          <w:tcPr>
            <w:tcW w:w="0" w:type="auto"/>
            <w:shd w:val="clear" w:color="auto" w:fill="auto"/>
            <w:tcMar>
              <w:top w:w="40" w:type="dxa"/>
              <w:left w:w="40" w:type="dxa"/>
              <w:bottom w:w="40" w:type="dxa"/>
              <w:right w:w="40" w:type="dxa"/>
            </w:tcMar>
            <w:vAlign w:val="bottom"/>
          </w:tcPr>
          <w:p w14:paraId="3750F0D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71C5"/>
            </w:tcBorders>
            <w:shd w:val="clear" w:color="auto" w:fill="auto"/>
            <w:tcMar>
              <w:top w:w="40" w:type="dxa"/>
              <w:left w:w="40" w:type="dxa"/>
              <w:bottom w:w="40" w:type="dxa"/>
            </w:tcMar>
            <w:vAlign w:val="bottom"/>
          </w:tcPr>
          <w:p w14:paraId="3750F0D9"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Q1 2019</w:t>
            </w:r>
          </w:p>
        </w:tc>
      </w:tr>
      <w:tr w:rsidR="002541AD" w14:paraId="3750F0E4"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F0DB"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(Dollars in Millions, Except Per Share Amounts)</w:t>
            </w:r>
          </w:p>
        </w:tc>
        <w:tc>
          <w:tcPr>
            <w:tcW w:w="0" w:type="auto"/>
            <w:shd w:val="clear" w:color="auto" w:fill="auto"/>
            <w:tcMar>
              <w:top w:w="40" w:type="dxa"/>
              <w:left w:w="40" w:type="dxa"/>
              <w:bottom w:w="40" w:type="dxa"/>
              <w:right w:w="40" w:type="dxa"/>
            </w:tcMar>
            <w:vAlign w:val="bottom"/>
          </w:tcPr>
          <w:p w14:paraId="3750F0D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F0DD"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Amount</w:t>
            </w:r>
          </w:p>
        </w:tc>
        <w:tc>
          <w:tcPr>
            <w:tcW w:w="0" w:type="auto"/>
            <w:shd w:val="clear" w:color="auto" w:fill="auto"/>
            <w:tcMar>
              <w:top w:w="40" w:type="dxa"/>
              <w:left w:w="40" w:type="dxa"/>
              <w:bottom w:w="40" w:type="dxa"/>
              <w:right w:w="40" w:type="dxa"/>
            </w:tcMar>
            <w:vAlign w:val="bottom"/>
          </w:tcPr>
          <w:p w14:paraId="3750F0D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3750F0DF"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of Net</w:t>
            </w:r>
            <w:r>
              <w:rPr>
                <w:rFonts w:ascii="Arial" w:eastAsia="宋体" w:hAnsi="Arial" w:cs="Arial"/>
                <w:b/>
                <w:bCs/>
                <w:color w:val="333333"/>
                <w:sz w:val="18"/>
                <w:szCs w:val="18"/>
              </w:rPr>
              <w:br/>
              <w:t>Revenue</w:t>
            </w:r>
          </w:p>
        </w:tc>
        <w:tc>
          <w:tcPr>
            <w:tcW w:w="0" w:type="auto"/>
            <w:shd w:val="clear" w:color="auto" w:fill="auto"/>
            <w:tcMar>
              <w:top w:w="40" w:type="dxa"/>
              <w:left w:w="40" w:type="dxa"/>
              <w:bottom w:w="40" w:type="dxa"/>
              <w:right w:w="40" w:type="dxa"/>
            </w:tcMar>
            <w:vAlign w:val="bottom"/>
          </w:tcPr>
          <w:p w14:paraId="3750F0E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F0E1"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Amount</w:t>
            </w:r>
          </w:p>
        </w:tc>
        <w:tc>
          <w:tcPr>
            <w:tcW w:w="0" w:type="auto"/>
            <w:shd w:val="clear" w:color="auto" w:fill="auto"/>
            <w:tcMar>
              <w:top w:w="40" w:type="dxa"/>
              <w:left w:w="40" w:type="dxa"/>
              <w:bottom w:w="40" w:type="dxa"/>
              <w:right w:w="40" w:type="dxa"/>
            </w:tcMar>
            <w:vAlign w:val="bottom"/>
          </w:tcPr>
          <w:p w14:paraId="3750F0E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3750F0E3"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of Net</w:t>
            </w:r>
            <w:r>
              <w:rPr>
                <w:rFonts w:ascii="Arial" w:eastAsia="宋体" w:hAnsi="Arial" w:cs="Arial"/>
                <w:b/>
                <w:bCs/>
                <w:color w:val="333333"/>
                <w:sz w:val="18"/>
                <w:szCs w:val="18"/>
              </w:rPr>
              <w:br/>
              <w:t>Revenue</w:t>
            </w:r>
          </w:p>
        </w:tc>
      </w:tr>
      <w:tr w:rsidR="002541AD" w14:paraId="3750F0F4" w14:textId="77777777">
        <w:tc>
          <w:tcPr>
            <w:tcW w:w="0" w:type="auto"/>
            <w:shd w:val="clear" w:color="auto" w:fill="auto"/>
            <w:tcMar>
              <w:top w:w="40" w:type="dxa"/>
              <w:left w:w="40" w:type="dxa"/>
              <w:bottom w:w="40" w:type="dxa"/>
              <w:right w:w="40" w:type="dxa"/>
            </w:tcMar>
          </w:tcPr>
          <w:p w14:paraId="3750F0E5"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Net revenue</w:t>
            </w:r>
          </w:p>
        </w:tc>
        <w:tc>
          <w:tcPr>
            <w:tcW w:w="0" w:type="auto"/>
            <w:shd w:val="clear" w:color="auto" w:fill="auto"/>
            <w:tcMar>
              <w:top w:w="40" w:type="dxa"/>
              <w:left w:w="40" w:type="dxa"/>
              <w:bottom w:w="40" w:type="dxa"/>
              <w:right w:w="40" w:type="dxa"/>
            </w:tcMar>
            <w:vAlign w:val="bottom"/>
          </w:tcPr>
          <w:p w14:paraId="3750F0E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3750F0E7"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3750F0E8"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19,828</w:t>
            </w:r>
          </w:p>
        </w:tc>
        <w:tc>
          <w:tcPr>
            <w:tcW w:w="0" w:type="auto"/>
            <w:tcBorders>
              <w:top w:val="single" w:sz="8" w:space="0" w:color="0071C5"/>
            </w:tcBorders>
            <w:shd w:val="clear" w:color="auto" w:fill="auto"/>
            <w:vAlign w:val="bottom"/>
          </w:tcPr>
          <w:p w14:paraId="3750F0E9"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0E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3750F0EB"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100.0</w:t>
            </w:r>
          </w:p>
        </w:tc>
        <w:tc>
          <w:tcPr>
            <w:tcW w:w="0" w:type="auto"/>
            <w:tcBorders>
              <w:top w:val="single" w:sz="8" w:space="0" w:color="0071C5"/>
            </w:tcBorders>
            <w:shd w:val="clear" w:color="auto" w:fill="auto"/>
            <w:tcMar>
              <w:top w:w="40" w:type="dxa"/>
              <w:bottom w:w="40" w:type="dxa"/>
              <w:right w:w="40" w:type="dxa"/>
            </w:tcMar>
            <w:vAlign w:val="bottom"/>
          </w:tcPr>
          <w:p w14:paraId="3750F0EC"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 %</w:t>
            </w:r>
          </w:p>
        </w:tc>
        <w:tc>
          <w:tcPr>
            <w:tcW w:w="0" w:type="auto"/>
            <w:shd w:val="clear" w:color="auto" w:fill="auto"/>
            <w:tcMar>
              <w:top w:w="40" w:type="dxa"/>
              <w:left w:w="40" w:type="dxa"/>
              <w:bottom w:w="40" w:type="dxa"/>
              <w:right w:w="40" w:type="dxa"/>
            </w:tcMar>
            <w:vAlign w:val="bottom"/>
          </w:tcPr>
          <w:p w14:paraId="3750F0E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0EE"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3750F0EF"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16,061</w:t>
            </w:r>
          </w:p>
        </w:tc>
        <w:tc>
          <w:tcPr>
            <w:tcW w:w="0" w:type="auto"/>
            <w:shd w:val="clear" w:color="auto" w:fill="auto"/>
            <w:vAlign w:val="bottom"/>
          </w:tcPr>
          <w:p w14:paraId="3750F0F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0F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0F2"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100.0</w:t>
            </w:r>
          </w:p>
        </w:tc>
        <w:tc>
          <w:tcPr>
            <w:tcW w:w="0" w:type="auto"/>
            <w:shd w:val="clear" w:color="auto" w:fill="auto"/>
            <w:tcMar>
              <w:top w:w="40" w:type="dxa"/>
              <w:bottom w:w="40" w:type="dxa"/>
              <w:right w:w="40" w:type="dxa"/>
            </w:tcMar>
            <w:vAlign w:val="bottom"/>
          </w:tcPr>
          <w:p w14:paraId="3750F0F3"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 %</w:t>
            </w:r>
          </w:p>
        </w:tc>
      </w:tr>
      <w:tr w:rsidR="002541AD" w14:paraId="3750F102" w14:textId="77777777">
        <w:tc>
          <w:tcPr>
            <w:tcW w:w="0" w:type="auto"/>
            <w:shd w:val="clear" w:color="auto" w:fill="auto"/>
            <w:tcMar>
              <w:top w:w="40" w:type="dxa"/>
              <w:left w:w="40" w:type="dxa"/>
              <w:bottom w:w="40" w:type="dxa"/>
              <w:right w:w="40" w:type="dxa"/>
            </w:tcMar>
          </w:tcPr>
          <w:p w14:paraId="3750F0F5"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Cost of sales</w:t>
            </w:r>
          </w:p>
        </w:tc>
        <w:tc>
          <w:tcPr>
            <w:tcW w:w="0" w:type="auto"/>
            <w:shd w:val="clear" w:color="auto" w:fill="auto"/>
            <w:tcMar>
              <w:top w:w="40" w:type="dxa"/>
              <w:left w:w="40" w:type="dxa"/>
              <w:bottom w:w="40" w:type="dxa"/>
              <w:right w:w="40" w:type="dxa"/>
            </w:tcMar>
            <w:vAlign w:val="bottom"/>
          </w:tcPr>
          <w:p w14:paraId="3750F0F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0F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7,812</w:t>
            </w:r>
          </w:p>
        </w:tc>
        <w:tc>
          <w:tcPr>
            <w:tcW w:w="0" w:type="auto"/>
            <w:shd w:val="clear" w:color="auto" w:fill="auto"/>
            <w:vAlign w:val="bottom"/>
          </w:tcPr>
          <w:p w14:paraId="3750F0F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0F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0F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39.4</w:t>
            </w:r>
          </w:p>
        </w:tc>
        <w:tc>
          <w:tcPr>
            <w:tcW w:w="0" w:type="auto"/>
            <w:shd w:val="clear" w:color="auto" w:fill="auto"/>
            <w:tcMar>
              <w:top w:w="40" w:type="dxa"/>
              <w:bottom w:w="40" w:type="dxa"/>
              <w:right w:w="40" w:type="dxa"/>
            </w:tcMar>
            <w:vAlign w:val="bottom"/>
          </w:tcPr>
          <w:p w14:paraId="3750F0FB"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 %</w:t>
            </w:r>
          </w:p>
        </w:tc>
        <w:tc>
          <w:tcPr>
            <w:tcW w:w="0" w:type="auto"/>
            <w:shd w:val="clear" w:color="auto" w:fill="auto"/>
            <w:tcMar>
              <w:top w:w="40" w:type="dxa"/>
              <w:left w:w="40" w:type="dxa"/>
              <w:bottom w:w="40" w:type="dxa"/>
              <w:right w:w="40" w:type="dxa"/>
            </w:tcMar>
            <w:vAlign w:val="bottom"/>
          </w:tcPr>
          <w:p w14:paraId="3750F0F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0FD"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6,972</w:t>
            </w:r>
          </w:p>
        </w:tc>
        <w:tc>
          <w:tcPr>
            <w:tcW w:w="0" w:type="auto"/>
            <w:shd w:val="clear" w:color="auto" w:fill="auto"/>
            <w:vAlign w:val="bottom"/>
          </w:tcPr>
          <w:p w14:paraId="3750F0F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0F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100"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43.4</w:t>
            </w:r>
          </w:p>
        </w:tc>
        <w:tc>
          <w:tcPr>
            <w:tcW w:w="0" w:type="auto"/>
            <w:shd w:val="clear" w:color="auto" w:fill="auto"/>
            <w:tcMar>
              <w:top w:w="40" w:type="dxa"/>
              <w:bottom w:w="40" w:type="dxa"/>
              <w:right w:w="40" w:type="dxa"/>
            </w:tcMar>
            <w:vAlign w:val="bottom"/>
          </w:tcPr>
          <w:p w14:paraId="3750F101"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w:t>
            </w:r>
          </w:p>
        </w:tc>
      </w:tr>
      <w:tr w:rsidR="002541AD" w14:paraId="3750F110" w14:textId="77777777">
        <w:tc>
          <w:tcPr>
            <w:tcW w:w="0" w:type="auto"/>
            <w:shd w:val="clear" w:color="auto" w:fill="auto"/>
            <w:tcMar>
              <w:top w:w="40" w:type="dxa"/>
              <w:left w:w="40" w:type="dxa"/>
              <w:bottom w:w="40" w:type="dxa"/>
              <w:right w:w="40" w:type="dxa"/>
            </w:tcMar>
          </w:tcPr>
          <w:p w14:paraId="3750F103"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Gross margin</w:t>
            </w:r>
          </w:p>
        </w:tc>
        <w:tc>
          <w:tcPr>
            <w:tcW w:w="0" w:type="auto"/>
            <w:shd w:val="clear" w:color="auto" w:fill="auto"/>
            <w:tcMar>
              <w:top w:w="40" w:type="dxa"/>
              <w:left w:w="40" w:type="dxa"/>
              <w:bottom w:w="40" w:type="dxa"/>
              <w:right w:w="40" w:type="dxa"/>
            </w:tcMar>
            <w:vAlign w:val="bottom"/>
          </w:tcPr>
          <w:p w14:paraId="3750F10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3750F105"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12,016</w:t>
            </w:r>
          </w:p>
        </w:tc>
        <w:tc>
          <w:tcPr>
            <w:tcW w:w="0" w:type="auto"/>
            <w:tcBorders>
              <w:top w:val="single" w:sz="8" w:space="0" w:color="333333"/>
            </w:tcBorders>
            <w:shd w:val="clear" w:color="auto" w:fill="auto"/>
            <w:vAlign w:val="bottom"/>
          </w:tcPr>
          <w:p w14:paraId="3750F10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0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tcBorders>
            <w:shd w:val="clear" w:color="auto" w:fill="auto"/>
            <w:tcMar>
              <w:top w:w="40" w:type="dxa"/>
              <w:left w:w="40" w:type="dxa"/>
              <w:bottom w:w="40" w:type="dxa"/>
            </w:tcMar>
            <w:vAlign w:val="bottom"/>
          </w:tcPr>
          <w:p w14:paraId="3750F108"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60.6</w:t>
            </w:r>
          </w:p>
        </w:tc>
        <w:tc>
          <w:tcPr>
            <w:tcW w:w="0" w:type="auto"/>
            <w:tcBorders>
              <w:top w:val="single" w:sz="8" w:space="0" w:color="333333"/>
            </w:tcBorders>
            <w:shd w:val="clear" w:color="auto" w:fill="auto"/>
            <w:tcMar>
              <w:top w:w="40" w:type="dxa"/>
              <w:bottom w:w="40" w:type="dxa"/>
              <w:right w:w="40" w:type="dxa"/>
            </w:tcMar>
            <w:vAlign w:val="bottom"/>
          </w:tcPr>
          <w:p w14:paraId="3750F109"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 %</w:t>
            </w:r>
          </w:p>
        </w:tc>
        <w:tc>
          <w:tcPr>
            <w:tcW w:w="0" w:type="auto"/>
            <w:shd w:val="clear" w:color="auto" w:fill="auto"/>
            <w:tcMar>
              <w:top w:w="40" w:type="dxa"/>
              <w:left w:w="40" w:type="dxa"/>
              <w:bottom w:w="40" w:type="dxa"/>
              <w:right w:w="40" w:type="dxa"/>
            </w:tcMar>
            <w:vAlign w:val="bottom"/>
          </w:tcPr>
          <w:p w14:paraId="3750F10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3750F10B"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9,089</w:t>
            </w:r>
          </w:p>
        </w:tc>
        <w:tc>
          <w:tcPr>
            <w:tcW w:w="0" w:type="auto"/>
            <w:tcBorders>
              <w:top w:val="single" w:sz="8" w:space="0" w:color="333333"/>
            </w:tcBorders>
            <w:shd w:val="clear" w:color="auto" w:fill="auto"/>
            <w:vAlign w:val="bottom"/>
          </w:tcPr>
          <w:p w14:paraId="3750F10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0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tcBorders>
            <w:shd w:val="clear" w:color="auto" w:fill="auto"/>
            <w:tcMar>
              <w:top w:w="40" w:type="dxa"/>
              <w:left w:w="40" w:type="dxa"/>
              <w:bottom w:w="40" w:type="dxa"/>
            </w:tcMar>
            <w:vAlign w:val="bottom"/>
          </w:tcPr>
          <w:p w14:paraId="3750F10E"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56.6</w:t>
            </w:r>
          </w:p>
        </w:tc>
        <w:tc>
          <w:tcPr>
            <w:tcW w:w="0" w:type="auto"/>
            <w:tcBorders>
              <w:top w:val="single" w:sz="8" w:space="0" w:color="333333"/>
            </w:tcBorders>
            <w:shd w:val="clear" w:color="auto" w:fill="auto"/>
            <w:tcMar>
              <w:top w:w="40" w:type="dxa"/>
              <w:bottom w:w="40" w:type="dxa"/>
              <w:right w:w="40" w:type="dxa"/>
            </w:tcMar>
            <w:vAlign w:val="bottom"/>
          </w:tcPr>
          <w:p w14:paraId="3750F10F"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 %</w:t>
            </w:r>
          </w:p>
        </w:tc>
      </w:tr>
      <w:tr w:rsidR="002541AD" w14:paraId="3750F11E" w14:textId="77777777">
        <w:tc>
          <w:tcPr>
            <w:tcW w:w="0" w:type="auto"/>
            <w:shd w:val="clear" w:color="auto" w:fill="auto"/>
            <w:tcMar>
              <w:top w:w="40" w:type="dxa"/>
              <w:left w:w="40" w:type="dxa"/>
              <w:bottom w:w="40" w:type="dxa"/>
              <w:right w:w="40" w:type="dxa"/>
            </w:tcMar>
          </w:tcPr>
          <w:p w14:paraId="3750F111"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Research and development</w:t>
            </w:r>
          </w:p>
        </w:tc>
        <w:tc>
          <w:tcPr>
            <w:tcW w:w="0" w:type="auto"/>
            <w:shd w:val="clear" w:color="auto" w:fill="auto"/>
            <w:tcMar>
              <w:top w:w="40" w:type="dxa"/>
              <w:left w:w="40" w:type="dxa"/>
              <w:bottom w:w="40" w:type="dxa"/>
              <w:right w:w="40" w:type="dxa"/>
            </w:tcMar>
            <w:vAlign w:val="bottom"/>
          </w:tcPr>
          <w:p w14:paraId="3750F11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11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3,275</w:t>
            </w:r>
          </w:p>
        </w:tc>
        <w:tc>
          <w:tcPr>
            <w:tcW w:w="0" w:type="auto"/>
            <w:shd w:val="clear" w:color="auto" w:fill="auto"/>
            <w:vAlign w:val="bottom"/>
          </w:tcPr>
          <w:p w14:paraId="3750F11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1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11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16.5</w:t>
            </w:r>
          </w:p>
        </w:tc>
        <w:tc>
          <w:tcPr>
            <w:tcW w:w="0" w:type="auto"/>
            <w:shd w:val="clear" w:color="auto" w:fill="auto"/>
            <w:tcMar>
              <w:top w:w="40" w:type="dxa"/>
              <w:bottom w:w="40" w:type="dxa"/>
              <w:right w:w="40" w:type="dxa"/>
            </w:tcMar>
            <w:vAlign w:val="bottom"/>
          </w:tcPr>
          <w:p w14:paraId="3750F117"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 %</w:t>
            </w:r>
          </w:p>
        </w:tc>
        <w:tc>
          <w:tcPr>
            <w:tcW w:w="0" w:type="auto"/>
            <w:shd w:val="clear" w:color="auto" w:fill="auto"/>
            <w:tcMar>
              <w:top w:w="40" w:type="dxa"/>
              <w:left w:w="40" w:type="dxa"/>
              <w:bottom w:w="40" w:type="dxa"/>
              <w:right w:w="40" w:type="dxa"/>
            </w:tcMar>
            <w:vAlign w:val="bottom"/>
          </w:tcPr>
          <w:p w14:paraId="3750F11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11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3,332</w:t>
            </w:r>
          </w:p>
        </w:tc>
        <w:tc>
          <w:tcPr>
            <w:tcW w:w="0" w:type="auto"/>
            <w:shd w:val="clear" w:color="auto" w:fill="auto"/>
            <w:vAlign w:val="bottom"/>
          </w:tcPr>
          <w:p w14:paraId="3750F11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1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11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20.7</w:t>
            </w:r>
          </w:p>
        </w:tc>
        <w:tc>
          <w:tcPr>
            <w:tcW w:w="0" w:type="auto"/>
            <w:shd w:val="clear" w:color="auto" w:fill="auto"/>
            <w:tcMar>
              <w:top w:w="40" w:type="dxa"/>
              <w:bottom w:w="40" w:type="dxa"/>
              <w:right w:w="40" w:type="dxa"/>
            </w:tcMar>
            <w:vAlign w:val="bottom"/>
          </w:tcPr>
          <w:p w14:paraId="3750F11D"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w:t>
            </w:r>
          </w:p>
        </w:tc>
      </w:tr>
      <w:tr w:rsidR="002541AD" w14:paraId="3750F12C" w14:textId="77777777">
        <w:tc>
          <w:tcPr>
            <w:tcW w:w="0" w:type="auto"/>
            <w:shd w:val="clear" w:color="auto" w:fill="auto"/>
            <w:tcMar>
              <w:top w:w="40" w:type="dxa"/>
              <w:left w:w="40" w:type="dxa"/>
              <w:bottom w:w="40" w:type="dxa"/>
              <w:right w:w="40" w:type="dxa"/>
            </w:tcMar>
          </w:tcPr>
          <w:p w14:paraId="3750F11F"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Marketing, general and administrative</w:t>
            </w:r>
          </w:p>
        </w:tc>
        <w:tc>
          <w:tcPr>
            <w:tcW w:w="0" w:type="auto"/>
            <w:shd w:val="clear" w:color="auto" w:fill="auto"/>
            <w:tcMar>
              <w:top w:w="40" w:type="dxa"/>
              <w:left w:w="40" w:type="dxa"/>
              <w:bottom w:w="40" w:type="dxa"/>
              <w:right w:w="40" w:type="dxa"/>
            </w:tcMar>
            <w:vAlign w:val="bottom"/>
          </w:tcPr>
          <w:p w14:paraId="3750F12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12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1,541</w:t>
            </w:r>
          </w:p>
        </w:tc>
        <w:tc>
          <w:tcPr>
            <w:tcW w:w="0" w:type="auto"/>
            <w:shd w:val="clear" w:color="auto" w:fill="auto"/>
            <w:vAlign w:val="bottom"/>
          </w:tcPr>
          <w:p w14:paraId="3750F12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2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124"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7.8</w:t>
            </w:r>
          </w:p>
        </w:tc>
        <w:tc>
          <w:tcPr>
            <w:tcW w:w="0" w:type="auto"/>
            <w:shd w:val="clear" w:color="auto" w:fill="auto"/>
            <w:tcMar>
              <w:top w:w="40" w:type="dxa"/>
              <w:bottom w:w="40" w:type="dxa"/>
              <w:right w:w="40" w:type="dxa"/>
            </w:tcMar>
            <w:vAlign w:val="bottom"/>
          </w:tcPr>
          <w:p w14:paraId="3750F125"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 %</w:t>
            </w:r>
          </w:p>
        </w:tc>
        <w:tc>
          <w:tcPr>
            <w:tcW w:w="0" w:type="auto"/>
            <w:shd w:val="clear" w:color="auto" w:fill="auto"/>
            <w:tcMar>
              <w:top w:w="40" w:type="dxa"/>
              <w:left w:w="40" w:type="dxa"/>
              <w:bottom w:w="40" w:type="dxa"/>
              <w:right w:w="40" w:type="dxa"/>
            </w:tcMar>
            <w:vAlign w:val="bottom"/>
          </w:tcPr>
          <w:p w14:paraId="3750F12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127"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1,583</w:t>
            </w:r>
          </w:p>
        </w:tc>
        <w:tc>
          <w:tcPr>
            <w:tcW w:w="0" w:type="auto"/>
            <w:shd w:val="clear" w:color="auto" w:fill="auto"/>
            <w:vAlign w:val="bottom"/>
          </w:tcPr>
          <w:p w14:paraId="3750F12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2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12A"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9.9</w:t>
            </w:r>
          </w:p>
        </w:tc>
        <w:tc>
          <w:tcPr>
            <w:tcW w:w="0" w:type="auto"/>
            <w:shd w:val="clear" w:color="auto" w:fill="auto"/>
            <w:tcMar>
              <w:top w:w="40" w:type="dxa"/>
              <w:bottom w:w="40" w:type="dxa"/>
              <w:right w:w="40" w:type="dxa"/>
            </w:tcMar>
            <w:vAlign w:val="bottom"/>
          </w:tcPr>
          <w:p w14:paraId="3750F12B"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w:t>
            </w:r>
          </w:p>
        </w:tc>
      </w:tr>
      <w:tr w:rsidR="002541AD" w14:paraId="3750F13A" w14:textId="77777777">
        <w:tc>
          <w:tcPr>
            <w:tcW w:w="0" w:type="auto"/>
            <w:shd w:val="clear" w:color="auto" w:fill="auto"/>
            <w:tcMar>
              <w:top w:w="40" w:type="dxa"/>
              <w:left w:w="40" w:type="dxa"/>
              <w:bottom w:w="40" w:type="dxa"/>
              <w:right w:w="40" w:type="dxa"/>
            </w:tcMar>
          </w:tcPr>
          <w:p w14:paraId="3750F12D"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Restructuring and other charges</w:t>
            </w:r>
          </w:p>
        </w:tc>
        <w:tc>
          <w:tcPr>
            <w:tcW w:w="0" w:type="auto"/>
            <w:shd w:val="clear" w:color="auto" w:fill="auto"/>
            <w:tcMar>
              <w:top w:w="40" w:type="dxa"/>
              <w:left w:w="40" w:type="dxa"/>
              <w:bottom w:w="40" w:type="dxa"/>
              <w:right w:w="40" w:type="dxa"/>
            </w:tcMar>
            <w:vAlign w:val="bottom"/>
          </w:tcPr>
          <w:p w14:paraId="3750F12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F12F"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162</w:t>
            </w:r>
          </w:p>
        </w:tc>
        <w:tc>
          <w:tcPr>
            <w:tcW w:w="0" w:type="auto"/>
            <w:tcBorders>
              <w:bottom w:val="single" w:sz="8" w:space="0" w:color="333333"/>
            </w:tcBorders>
            <w:shd w:val="clear" w:color="auto" w:fill="auto"/>
            <w:vAlign w:val="bottom"/>
          </w:tcPr>
          <w:p w14:paraId="3750F13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3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tcMar>
            <w:vAlign w:val="bottom"/>
          </w:tcPr>
          <w:p w14:paraId="3750F132"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0.8</w:t>
            </w:r>
          </w:p>
        </w:tc>
        <w:tc>
          <w:tcPr>
            <w:tcW w:w="0" w:type="auto"/>
            <w:tcBorders>
              <w:bottom w:val="single" w:sz="8" w:space="0" w:color="333333"/>
            </w:tcBorders>
            <w:shd w:val="clear" w:color="auto" w:fill="auto"/>
            <w:tcMar>
              <w:top w:w="40" w:type="dxa"/>
              <w:bottom w:w="40" w:type="dxa"/>
              <w:right w:w="40" w:type="dxa"/>
            </w:tcMar>
            <w:vAlign w:val="bottom"/>
          </w:tcPr>
          <w:p w14:paraId="3750F133"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 %</w:t>
            </w:r>
          </w:p>
        </w:tc>
        <w:tc>
          <w:tcPr>
            <w:tcW w:w="0" w:type="auto"/>
            <w:shd w:val="clear" w:color="auto" w:fill="auto"/>
            <w:tcMar>
              <w:top w:w="40" w:type="dxa"/>
              <w:left w:w="40" w:type="dxa"/>
              <w:bottom w:w="40" w:type="dxa"/>
              <w:right w:w="40" w:type="dxa"/>
            </w:tcMar>
            <w:vAlign w:val="bottom"/>
          </w:tcPr>
          <w:p w14:paraId="3750F13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F135"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bottom w:val="single" w:sz="8" w:space="0" w:color="333333"/>
            </w:tcBorders>
            <w:shd w:val="clear" w:color="auto" w:fill="auto"/>
            <w:vAlign w:val="bottom"/>
          </w:tcPr>
          <w:p w14:paraId="3750F13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3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tcMar>
            <w:vAlign w:val="bottom"/>
          </w:tcPr>
          <w:p w14:paraId="3750F13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bottom w:val="single" w:sz="8" w:space="0" w:color="333333"/>
            </w:tcBorders>
            <w:shd w:val="clear" w:color="auto" w:fill="auto"/>
            <w:tcMar>
              <w:top w:w="40" w:type="dxa"/>
              <w:bottom w:w="40" w:type="dxa"/>
              <w:right w:w="40" w:type="dxa"/>
            </w:tcMar>
            <w:vAlign w:val="bottom"/>
          </w:tcPr>
          <w:p w14:paraId="3750F139"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w:t>
            </w:r>
          </w:p>
        </w:tc>
      </w:tr>
      <w:tr w:rsidR="002541AD" w14:paraId="3750F148" w14:textId="77777777">
        <w:tc>
          <w:tcPr>
            <w:tcW w:w="0" w:type="auto"/>
            <w:shd w:val="clear" w:color="auto" w:fill="auto"/>
            <w:tcMar>
              <w:top w:w="40" w:type="dxa"/>
              <w:left w:w="40" w:type="dxa"/>
              <w:bottom w:w="40" w:type="dxa"/>
              <w:right w:w="40" w:type="dxa"/>
            </w:tcMar>
          </w:tcPr>
          <w:p w14:paraId="3750F13B"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Operating income</w:t>
            </w:r>
          </w:p>
        </w:tc>
        <w:tc>
          <w:tcPr>
            <w:tcW w:w="0" w:type="auto"/>
            <w:shd w:val="clear" w:color="auto" w:fill="auto"/>
            <w:tcMar>
              <w:top w:w="40" w:type="dxa"/>
              <w:left w:w="40" w:type="dxa"/>
              <w:bottom w:w="40" w:type="dxa"/>
              <w:right w:w="40" w:type="dxa"/>
            </w:tcMar>
            <w:vAlign w:val="bottom"/>
          </w:tcPr>
          <w:p w14:paraId="3750F13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13D"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7,038</w:t>
            </w:r>
          </w:p>
        </w:tc>
        <w:tc>
          <w:tcPr>
            <w:tcW w:w="0" w:type="auto"/>
            <w:shd w:val="clear" w:color="auto" w:fill="auto"/>
            <w:vAlign w:val="bottom"/>
          </w:tcPr>
          <w:p w14:paraId="3750F13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3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140"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35.5</w:t>
            </w:r>
          </w:p>
        </w:tc>
        <w:tc>
          <w:tcPr>
            <w:tcW w:w="0" w:type="auto"/>
            <w:shd w:val="clear" w:color="auto" w:fill="auto"/>
            <w:tcMar>
              <w:top w:w="40" w:type="dxa"/>
              <w:bottom w:w="40" w:type="dxa"/>
              <w:right w:w="40" w:type="dxa"/>
            </w:tcMar>
            <w:vAlign w:val="bottom"/>
          </w:tcPr>
          <w:p w14:paraId="3750F141"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 %</w:t>
            </w:r>
          </w:p>
        </w:tc>
        <w:tc>
          <w:tcPr>
            <w:tcW w:w="0" w:type="auto"/>
            <w:shd w:val="clear" w:color="auto" w:fill="auto"/>
            <w:tcMar>
              <w:top w:w="40" w:type="dxa"/>
              <w:left w:w="40" w:type="dxa"/>
              <w:bottom w:w="40" w:type="dxa"/>
              <w:right w:w="40" w:type="dxa"/>
            </w:tcMar>
            <w:vAlign w:val="bottom"/>
          </w:tcPr>
          <w:p w14:paraId="3750F14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143"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4,174</w:t>
            </w:r>
          </w:p>
        </w:tc>
        <w:tc>
          <w:tcPr>
            <w:tcW w:w="0" w:type="auto"/>
            <w:shd w:val="clear" w:color="auto" w:fill="auto"/>
            <w:vAlign w:val="bottom"/>
          </w:tcPr>
          <w:p w14:paraId="3750F14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4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146"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26.0</w:t>
            </w:r>
          </w:p>
        </w:tc>
        <w:tc>
          <w:tcPr>
            <w:tcW w:w="0" w:type="auto"/>
            <w:shd w:val="clear" w:color="auto" w:fill="auto"/>
            <w:tcMar>
              <w:top w:w="40" w:type="dxa"/>
              <w:bottom w:w="40" w:type="dxa"/>
              <w:right w:w="40" w:type="dxa"/>
            </w:tcMar>
            <w:vAlign w:val="bottom"/>
          </w:tcPr>
          <w:p w14:paraId="3750F147"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 %</w:t>
            </w:r>
          </w:p>
        </w:tc>
      </w:tr>
      <w:tr w:rsidR="002541AD" w14:paraId="3750F156" w14:textId="77777777">
        <w:tc>
          <w:tcPr>
            <w:tcW w:w="0" w:type="auto"/>
            <w:shd w:val="clear" w:color="auto" w:fill="auto"/>
            <w:tcMar>
              <w:top w:w="40" w:type="dxa"/>
              <w:left w:w="40" w:type="dxa"/>
              <w:bottom w:w="40" w:type="dxa"/>
              <w:right w:w="40" w:type="dxa"/>
            </w:tcMar>
          </w:tcPr>
          <w:p w14:paraId="3750F149"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Gains (losses) on equity investments, net</w:t>
            </w:r>
          </w:p>
        </w:tc>
        <w:tc>
          <w:tcPr>
            <w:tcW w:w="0" w:type="auto"/>
            <w:shd w:val="clear" w:color="auto" w:fill="auto"/>
            <w:tcMar>
              <w:top w:w="40" w:type="dxa"/>
              <w:left w:w="40" w:type="dxa"/>
              <w:bottom w:w="40" w:type="dxa"/>
              <w:right w:w="40" w:type="dxa"/>
            </w:tcMar>
            <w:vAlign w:val="bottom"/>
          </w:tcPr>
          <w:p w14:paraId="3750F14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14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(111</w:t>
            </w:r>
          </w:p>
        </w:tc>
        <w:tc>
          <w:tcPr>
            <w:tcW w:w="0" w:type="auto"/>
            <w:shd w:val="clear" w:color="auto" w:fill="auto"/>
            <w:tcMar>
              <w:top w:w="40" w:type="dxa"/>
              <w:bottom w:w="40" w:type="dxa"/>
              <w:right w:w="40" w:type="dxa"/>
            </w:tcMar>
            <w:vAlign w:val="bottom"/>
          </w:tcPr>
          <w:p w14:paraId="3750F14C"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F14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14E"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(0.6</w:t>
            </w:r>
          </w:p>
        </w:tc>
        <w:tc>
          <w:tcPr>
            <w:tcW w:w="0" w:type="auto"/>
            <w:shd w:val="clear" w:color="auto" w:fill="auto"/>
            <w:tcMar>
              <w:top w:w="40" w:type="dxa"/>
              <w:bottom w:w="40" w:type="dxa"/>
              <w:right w:w="40" w:type="dxa"/>
            </w:tcMar>
            <w:vAlign w:val="bottom"/>
          </w:tcPr>
          <w:p w14:paraId="3750F14F"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F15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151"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434</w:t>
            </w:r>
          </w:p>
        </w:tc>
        <w:tc>
          <w:tcPr>
            <w:tcW w:w="0" w:type="auto"/>
            <w:shd w:val="clear" w:color="auto" w:fill="auto"/>
            <w:vAlign w:val="bottom"/>
          </w:tcPr>
          <w:p w14:paraId="3750F15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5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15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2.7</w:t>
            </w:r>
          </w:p>
        </w:tc>
        <w:tc>
          <w:tcPr>
            <w:tcW w:w="0" w:type="auto"/>
            <w:shd w:val="clear" w:color="auto" w:fill="auto"/>
            <w:tcMar>
              <w:top w:w="40" w:type="dxa"/>
              <w:bottom w:w="40" w:type="dxa"/>
              <w:right w:w="40" w:type="dxa"/>
            </w:tcMar>
            <w:vAlign w:val="bottom"/>
          </w:tcPr>
          <w:p w14:paraId="3750F155"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w:t>
            </w:r>
          </w:p>
        </w:tc>
      </w:tr>
      <w:tr w:rsidR="002541AD" w14:paraId="3750F164" w14:textId="77777777">
        <w:tc>
          <w:tcPr>
            <w:tcW w:w="0" w:type="auto"/>
            <w:shd w:val="clear" w:color="auto" w:fill="auto"/>
            <w:tcMar>
              <w:top w:w="40" w:type="dxa"/>
              <w:left w:w="40" w:type="dxa"/>
              <w:bottom w:w="40" w:type="dxa"/>
              <w:right w:w="40" w:type="dxa"/>
            </w:tcMar>
          </w:tcPr>
          <w:p w14:paraId="3750F157"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Interest and other, net</w:t>
            </w:r>
          </w:p>
        </w:tc>
        <w:tc>
          <w:tcPr>
            <w:tcW w:w="0" w:type="auto"/>
            <w:shd w:val="clear" w:color="auto" w:fill="auto"/>
            <w:tcMar>
              <w:top w:w="40" w:type="dxa"/>
              <w:left w:w="40" w:type="dxa"/>
              <w:bottom w:w="40" w:type="dxa"/>
              <w:right w:w="40" w:type="dxa"/>
            </w:tcMar>
            <w:vAlign w:val="bottom"/>
          </w:tcPr>
          <w:p w14:paraId="3750F15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15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(313</w:t>
            </w:r>
          </w:p>
        </w:tc>
        <w:tc>
          <w:tcPr>
            <w:tcW w:w="0" w:type="auto"/>
            <w:shd w:val="clear" w:color="auto" w:fill="auto"/>
            <w:tcMar>
              <w:top w:w="40" w:type="dxa"/>
              <w:bottom w:w="40" w:type="dxa"/>
              <w:right w:w="40" w:type="dxa"/>
            </w:tcMar>
            <w:vAlign w:val="bottom"/>
          </w:tcPr>
          <w:p w14:paraId="3750F15A"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F15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15C"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(1.6</w:t>
            </w:r>
          </w:p>
        </w:tc>
        <w:tc>
          <w:tcPr>
            <w:tcW w:w="0" w:type="auto"/>
            <w:shd w:val="clear" w:color="auto" w:fill="auto"/>
            <w:tcMar>
              <w:top w:w="40" w:type="dxa"/>
              <w:bottom w:w="40" w:type="dxa"/>
              <w:right w:w="40" w:type="dxa"/>
            </w:tcMar>
            <w:vAlign w:val="bottom"/>
          </w:tcPr>
          <w:p w14:paraId="3750F15D"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F15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15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(61</w:t>
            </w:r>
          </w:p>
        </w:tc>
        <w:tc>
          <w:tcPr>
            <w:tcW w:w="0" w:type="auto"/>
            <w:shd w:val="clear" w:color="auto" w:fill="auto"/>
            <w:tcMar>
              <w:top w:w="40" w:type="dxa"/>
              <w:bottom w:w="40" w:type="dxa"/>
              <w:right w:w="40" w:type="dxa"/>
            </w:tcMar>
            <w:vAlign w:val="bottom"/>
          </w:tcPr>
          <w:p w14:paraId="3750F160"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left w:w="40" w:type="dxa"/>
              <w:bottom w:w="40" w:type="dxa"/>
              <w:right w:w="40" w:type="dxa"/>
            </w:tcMar>
            <w:vAlign w:val="bottom"/>
          </w:tcPr>
          <w:p w14:paraId="3750F16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162"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(0.4</w:t>
            </w:r>
          </w:p>
        </w:tc>
        <w:tc>
          <w:tcPr>
            <w:tcW w:w="0" w:type="auto"/>
            <w:shd w:val="clear" w:color="auto" w:fill="auto"/>
            <w:tcMar>
              <w:top w:w="40" w:type="dxa"/>
              <w:bottom w:w="40" w:type="dxa"/>
              <w:right w:w="40" w:type="dxa"/>
            </w:tcMar>
            <w:vAlign w:val="bottom"/>
          </w:tcPr>
          <w:p w14:paraId="3750F163"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F172" w14:textId="77777777">
        <w:tc>
          <w:tcPr>
            <w:tcW w:w="0" w:type="auto"/>
            <w:shd w:val="clear" w:color="auto" w:fill="auto"/>
            <w:tcMar>
              <w:top w:w="40" w:type="dxa"/>
              <w:left w:w="40" w:type="dxa"/>
              <w:bottom w:w="40" w:type="dxa"/>
              <w:right w:w="40" w:type="dxa"/>
            </w:tcMar>
          </w:tcPr>
          <w:p w14:paraId="3750F165"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Income before taxes</w:t>
            </w:r>
          </w:p>
        </w:tc>
        <w:tc>
          <w:tcPr>
            <w:tcW w:w="0" w:type="auto"/>
            <w:shd w:val="clear" w:color="auto" w:fill="auto"/>
            <w:tcMar>
              <w:top w:w="40" w:type="dxa"/>
              <w:left w:w="40" w:type="dxa"/>
              <w:bottom w:w="40" w:type="dxa"/>
              <w:right w:w="40" w:type="dxa"/>
            </w:tcMar>
            <w:vAlign w:val="bottom"/>
          </w:tcPr>
          <w:p w14:paraId="3750F16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3750F167"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6,614</w:t>
            </w:r>
          </w:p>
        </w:tc>
        <w:tc>
          <w:tcPr>
            <w:tcW w:w="0" w:type="auto"/>
            <w:tcBorders>
              <w:top w:val="single" w:sz="8" w:space="0" w:color="333333"/>
            </w:tcBorders>
            <w:shd w:val="clear" w:color="auto" w:fill="auto"/>
            <w:vAlign w:val="bottom"/>
          </w:tcPr>
          <w:p w14:paraId="3750F16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6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tcBorders>
            <w:shd w:val="clear" w:color="auto" w:fill="auto"/>
            <w:tcMar>
              <w:top w:w="40" w:type="dxa"/>
              <w:left w:w="40" w:type="dxa"/>
              <w:bottom w:w="40" w:type="dxa"/>
            </w:tcMar>
            <w:vAlign w:val="bottom"/>
          </w:tcPr>
          <w:p w14:paraId="3750F16A"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33.4</w:t>
            </w:r>
          </w:p>
        </w:tc>
        <w:tc>
          <w:tcPr>
            <w:tcW w:w="0" w:type="auto"/>
            <w:tcBorders>
              <w:top w:val="single" w:sz="8" w:space="0" w:color="333333"/>
            </w:tcBorders>
            <w:shd w:val="clear" w:color="auto" w:fill="auto"/>
            <w:tcMar>
              <w:top w:w="40" w:type="dxa"/>
              <w:bottom w:w="40" w:type="dxa"/>
              <w:right w:w="40" w:type="dxa"/>
            </w:tcMar>
            <w:vAlign w:val="bottom"/>
          </w:tcPr>
          <w:p w14:paraId="3750F16B"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 %</w:t>
            </w:r>
          </w:p>
        </w:tc>
        <w:tc>
          <w:tcPr>
            <w:tcW w:w="0" w:type="auto"/>
            <w:shd w:val="clear" w:color="auto" w:fill="auto"/>
            <w:tcMar>
              <w:top w:w="40" w:type="dxa"/>
              <w:left w:w="40" w:type="dxa"/>
              <w:bottom w:w="40" w:type="dxa"/>
              <w:right w:w="40" w:type="dxa"/>
            </w:tcMar>
            <w:vAlign w:val="bottom"/>
          </w:tcPr>
          <w:p w14:paraId="3750F16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tcBorders>
            <w:shd w:val="clear" w:color="auto" w:fill="auto"/>
            <w:tcMar>
              <w:top w:w="40" w:type="dxa"/>
              <w:left w:w="40" w:type="dxa"/>
              <w:bottom w:w="40" w:type="dxa"/>
            </w:tcMar>
            <w:vAlign w:val="bottom"/>
          </w:tcPr>
          <w:p w14:paraId="3750F16D"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4,547</w:t>
            </w:r>
          </w:p>
        </w:tc>
        <w:tc>
          <w:tcPr>
            <w:tcW w:w="0" w:type="auto"/>
            <w:tcBorders>
              <w:top w:val="single" w:sz="8" w:space="0" w:color="333333"/>
            </w:tcBorders>
            <w:shd w:val="clear" w:color="auto" w:fill="auto"/>
            <w:vAlign w:val="bottom"/>
          </w:tcPr>
          <w:p w14:paraId="3750F16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6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tcBorders>
            <w:shd w:val="clear" w:color="auto" w:fill="auto"/>
            <w:tcMar>
              <w:top w:w="40" w:type="dxa"/>
              <w:left w:w="40" w:type="dxa"/>
              <w:bottom w:w="40" w:type="dxa"/>
            </w:tcMar>
            <w:vAlign w:val="bottom"/>
          </w:tcPr>
          <w:p w14:paraId="3750F170"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28.3</w:t>
            </w:r>
          </w:p>
        </w:tc>
        <w:tc>
          <w:tcPr>
            <w:tcW w:w="0" w:type="auto"/>
            <w:tcBorders>
              <w:top w:val="single" w:sz="8" w:space="0" w:color="333333"/>
            </w:tcBorders>
            <w:shd w:val="clear" w:color="auto" w:fill="auto"/>
            <w:tcMar>
              <w:top w:w="40" w:type="dxa"/>
              <w:bottom w:w="40" w:type="dxa"/>
              <w:right w:w="40" w:type="dxa"/>
            </w:tcMar>
            <w:vAlign w:val="bottom"/>
          </w:tcPr>
          <w:p w14:paraId="3750F171"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 %</w:t>
            </w:r>
          </w:p>
        </w:tc>
      </w:tr>
      <w:tr w:rsidR="002541AD" w14:paraId="3750F180" w14:textId="77777777">
        <w:tc>
          <w:tcPr>
            <w:tcW w:w="0" w:type="auto"/>
            <w:shd w:val="clear" w:color="auto" w:fill="auto"/>
            <w:tcMar>
              <w:top w:w="40" w:type="dxa"/>
              <w:left w:w="40" w:type="dxa"/>
              <w:bottom w:w="40" w:type="dxa"/>
              <w:right w:w="40" w:type="dxa"/>
            </w:tcMar>
          </w:tcPr>
          <w:p w14:paraId="3750F173"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Provision for taxes</w:t>
            </w:r>
          </w:p>
        </w:tc>
        <w:tc>
          <w:tcPr>
            <w:tcW w:w="0" w:type="auto"/>
            <w:shd w:val="clear" w:color="auto" w:fill="auto"/>
            <w:tcMar>
              <w:top w:w="40" w:type="dxa"/>
              <w:left w:w="40" w:type="dxa"/>
              <w:bottom w:w="40" w:type="dxa"/>
              <w:right w:w="40" w:type="dxa"/>
            </w:tcMar>
            <w:vAlign w:val="bottom"/>
          </w:tcPr>
          <w:p w14:paraId="3750F17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175"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953</w:t>
            </w:r>
          </w:p>
        </w:tc>
        <w:tc>
          <w:tcPr>
            <w:tcW w:w="0" w:type="auto"/>
            <w:shd w:val="clear" w:color="auto" w:fill="auto"/>
            <w:vAlign w:val="bottom"/>
          </w:tcPr>
          <w:p w14:paraId="3750F17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7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178"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4.8</w:t>
            </w:r>
          </w:p>
        </w:tc>
        <w:tc>
          <w:tcPr>
            <w:tcW w:w="0" w:type="auto"/>
            <w:shd w:val="clear" w:color="auto" w:fill="auto"/>
            <w:tcMar>
              <w:top w:w="40" w:type="dxa"/>
              <w:bottom w:w="40" w:type="dxa"/>
              <w:right w:w="40" w:type="dxa"/>
            </w:tcMar>
            <w:vAlign w:val="bottom"/>
          </w:tcPr>
          <w:p w14:paraId="3750F179"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 %</w:t>
            </w:r>
          </w:p>
        </w:tc>
        <w:tc>
          <w:tcPr>
            <w:tcW w:w="0" w:type="auto"/>
            <w:shd w:val="clear" w:color="auto" w:fill="auto"/>
            <w:tcMar>
              <w:top w:w="40" w:type="dxa"/>
              <w:left w:w="40" w:type="dxa"/>
              <w:bottom w:w="40" w:type="dxa"/>
              <w:right w:w="40" w:type="dxa"/>
            </w:tcMar>
            <w:vAlign w:val="bottom"/>
          </w:tcPr>
          <w:p w14:paraId="3750F17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17B"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573</w:t>
            </w:r>
          </w:p>
        </w:tc>
        <w:tc>
          <w:tcPr>
            <w:tcW w:w="0" w:type="auto"/>
            <w:shd w:val="clear" w:color="auto" w:fill="auto"/>
            <w:vAlign w:val="bottom"/>
          </w:tcPr>
          <w:p w14:paraId="3750F17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7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17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3.6</w:t>
            </w:r>
          </w:p>
        </w:tc>
        <w:tc>
          <w:tcPr>
            <w:tcW w:w="0" w:type="auto"/>
            <w:shd w:val="clear" w:color="auto" w:fill="auto"/>
            <w:tcMar>
              <w:top w:w="40" w:type="dxa"/>
              <w:bottom w:w="40" w:type="dxa"/>
              <w:right w:w="40" w:type="dxa"/>
            </w:tcMar>
            <w:vAlign w:val="bottom"/>
          </w:tcPr>
          <w:p w14:paraId="3750F17F"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w:t>
            </w:r>
          </w:p>
        </w:tc>
      </w:tr>
      <w:tr w:rsidR="002541AD" w14:paraId="3750F190" w14:textId="77777777">
        <w:tc>
          <w:tcPr>
            <w:tcW w:w="0" w:type="auto"/>
            <w:shd w:val="clear" w:color="auto" w:fill="auto"/>
            <w:tcMar>
              <w:top w:w="40" w:type="dxa"/>
              <w:left w:w="40" w:type="dxa"/>
              <w:bottom w:w="40" w:type="dxa"/>
              <w:right w:w="40" w:type="dxa"/>
            </w:tcMar>
          </w:tcPr>
          <w:p w14:paraId="3750F181"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Net income</w:t>
            </w:r>
          </w:p>
        </w:tc>
        <w:tc>
          <w:tcPr>
            <w:tcW w:w="0" w:type="auto"/>
            <w:shd w:val="clear" w:color="auto" w:fill="auto"/>
            <w:tcMar>
              <w:top w:w="40" w:type="dxa"/>
              <w:left w:w="40" w:type="dxa"/>
              <w:bottom w:w="40" w:type="dxa"/>
              <w:right w:w="40" w:type="dxa"/>
            </w:tcMar>
            <w:vAlign w:val="bottom"/>
          </w:tcPr>
          <w:p w14:paraId="3750F18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F183"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F184"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5,661</w:t>
            </w:r>
          </w:p>
        </w:tc>
        <w:tc>
          <w:tcPr>
            <w:tcW w:w="0" w:type="auto"/>
            <w:tcBorders>
              <w:top w:val="single" w:sz="8" w:space="0" w:color="333333"/>
              <w:bottom w:val="double" w:sz="6" w:space="0" w:color="333333"/>
            </w:tcBorders>
            <w:shd w:val="clear" w:color="auto" w:fill="auto"/>
            <w:vAlign w:val="bottom"/>
          </w:tcPr>
          <w:p w14:paraId="3750F18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8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F187"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28.6</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F188"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 %</w:t>
            </w:r>
          </w:p>
        </w:tc>
        <w:tc>
          <w:tcPr>
            <w:tcW w:w="0" w:type="auto"/>
            <w:shd w:val="clear" w:color="auto" w:fill="auto"/>
            <w:tcMar>
              <w:top w:w="40" w:type="dxa"/>
              <w:left w:w="40" w:type="dxa"/>
              <w:bottom w:w="40" w:type="dxa"/>
              <w:right w:w="40" w:type="dxa"/>
            </w:tcMar>
            <w:vAlign w:val="bottom"/>
          </w:tcPr>
          <w:p w14:paraId="3750F18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F18A"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F18B"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3,974</w:t>
            </w:r>
          </w:p>
        </w:tc>
        <w:tc>
          <w:tcPr>
            <w:tcW w:w="0" w:type="auto"/>
            <w:tcBorders>
              <w:top w:val="single" w:sz="8" w:space="0" w:color="333333"/>
              <w:bottom w:val="double" w:sz="6" w:space="0" w:color="333333"/>
            </w:tcBorders>
            <w:shd w:val="clear" w:color="auto" w:fill="auto"/>
            <w:vAlign w:val="bottom"/>
          </w:tcPr>
          <w:p w14:paraId="3750F18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8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F18E"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24.7</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F18F"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 %</w:t>
            </w:r>
          </w:p>
        </w:tc>
      </w:tr>
      <w:tr w:rsidR="002541AD" w14:paraId="3750F19A" w14:textId="77777777">
        <w:tc>
          <w:tcPr>
            <w:tcW w:w="0" w:type="auto"/>
            <w:shd w:val="clear" w:color="auto" w:fill="auto"/>
            <w:tcMar>
              <w:top w:w="40" w:type="dxa"/>
              <w:left w:w="40" w:type="dxa"/>
              <w:bottom w:w="40" w:type="dxa"/>
              <w:right w:w="40" w:type="dxa"/>
            </w:tcMar>
            <w:vAlign w:val="bottom"/>
          </w:tcPr>
          <w:p w14:paraId="3750F19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19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F19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19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F19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19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F19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19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F19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1A8" w14:textId="77777777">
        <w:tc>
          <w:tcPr>
            <w:tcW w:w="0" w:type="auto"/>
            <w:shd w:val="clear" w:color="auto" w:fill="auto"/>
            <w:tcMar>
              <w:top w:w="40" w:type="dxa"/>
              <w:left w:w="40" w:type="dxa"/>
              <w:bottom w:w="40" w:type="dxa"/>
              <w:right w:w="40" w:type="dxa"/>
            </w:tcMar>
          </w:tcPr>
          <w:p w14:paraId="3750F19B"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Earnings per share—diluted</w:t>
            </w:r>
          </w:p>
        </w:tc>
        <w:tc>
          <w:tcPr>
            <w:tcW w:w="0" w:type="auto"/>
            <w:shd w:val="clear" w:color="auto" w:fill="auto"/>
            <w:tcMar>
              <w:top w:w="40" w:type="dxa"/>
              <w:left w:w="40" w:type="dxa"/>
              <w:bottom w:w="40" w:type="dxa"/>
              <w:right w:w="40" w:type="dxa"/>
            </w:tcMar>
            <w:vAlign w:val="bottom"/>
          </w:tcPr>
          <w:p w14:paraId="3750F19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3750F19D"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bottom w:val="double" w:sz="6" w:space="0" w:color="333333"/>
            </w:tcBorders>
            <w:shd w:val="clear" w:color="auto" w:fill="auto"/>
            <w:tcMar>
              <w:top w:w="40" w:type="dxa"/>
              <w:bottom w:w="40" w:type="dxa"/>
            </w:tcMar>
            <w:vAlign w:val="bottom"/>
          </w:tcPr>
          <w:p w14:paraId="3750F19E"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1.31</w:t>
            </w:r>
          </w:p>
        </w:tc>
        <w:tc>
          <w:tcPr>
            <w:tcW w:w="0" w:type="auto"/>
            <w:tcBorders>
              <w:bottom w:val="double" w:sz="6" w:space="0" w:color="333333"/>
            </w:tcBorders>
            <w:shd w:val="clear" w:color="auto" w:fill="auto"/>
            <w:vAlign w:val="bottom"/>
          </w:tcPr>
          <w:p w14:paraId="3750F19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A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F1A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1A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3750F1A3"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3750F1A4"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0.87</w:t>
            </w:r>
          </w:p>
        </w:tc>
        <w:tc>
          <w:tcPr>
            <w:tcW w:w="0" w:type="auto"/>
            <w:tcBorders>
              <w:bottom w:val="double" w:sz="6" w:space="0" w:color="333333"/>
            </w:tcBorders>
            <w:shd w:val="clear" w:color="auto" w:fill="auto"/>
            <w:vAlign w:val="bottom"/>
          </w:tcPr>
          <w:p w14:paraId="3750F1A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A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3750F1A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bl>
    <w:p w14:paraId="3750F1A9"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F1AB" w14:textId="77777777">
        <w:tc>
          <w:tcPr>
            <w:tcW w:w="0" w:type="auto"/>
            <w:gridSpan w:val="3"/>
            <w:shd w:val="clear" w:color="auto" w:fill="auto"/>
            <w:vAlign w:val="center"/>
          </w:tcPr>
          <w:p w14:paraId="3750F1AA" w14:textId="77777777" w:rsidR="002541AD" w:rsidRDefault="002541AD">
            <w:pPr>
              <w:rPr>
                <w:rFonts w:ascii="Times New Roman" w:hAnsi="Times New Roman"/>
                <w:sz w:val="20"/>
                <w:szCs w:val="20"/>
              </w:rPr>
            </w:pPr>
          </w:p>
        </w:tc>
      </w:tr>
      <w:tr w:rsidR="002541AD" w14:paraId="3750F1AF" w14:textId="77777777">
        <w:tc>
          <w:tcPr>
            <w:tcW w:w="1550" w:type="pct"/>
            <w:shd w:val="clear" w:color="auto" w:fill="auto"/>
            <w:vAlign w:val="center"/>
          </w:tcPr>
          <w:p w14:paraId="3750F1AC" w14:textId="77777777" w:rsidR="002541AD" w:rsidRDefault="002541AD">
            <w:pPr>
              <w:rPr>
                <w:rFonts w:ascii="Times New Roman" w:hAnsi="Times New Roman"/>
                <w:sz w:val="20"/>
                <w:szCs w:val="20"/>
              </w:rPr>
            </w:pPr>
          </w:p>
        </w:tc>
        <w:tc>
          <w:tcPr>
            <w:tcW w:w="2200" w:type="pct"/>
            <w:shd w:val="clear" w:color="auto" w:fill="auto"/>
            <w:vAlign w:val="center"/>
          </w:tcPr>
          <w:p w14:paraId="3750F1AD" w14:textId="77777777" w:rsidR="002541AD" w:rsidRDefault="002541AD">
            <w:pPr>
              <w:rPr>
                <w:rFonts w:ascii="Times New Roman" w:hAnsi="Times New Roman"/>
                <w:sz w:val="20"/>
                <w:szCs w:val="20"/>
              </w:rPr>
            </w:pPr>
          </w:p>
        </w:tc>
        <w:tc>
          <w:tcPr>
            <w:tcW w:w="1250" w:type="pct"/>
            <w:shd w:val="clear" w:color="auto" w:fill="auto"/>
            <w:vAlign w:val="center"/>
          </w:tcPr>
          <w:p w14:paraId="3750F1AE" w14:textId="77777777" w:rsidR="002541AD" w:rsidRDefault="002541AD">
            <w:pPr>
              <w:rPr>
                <w:rFonts w:ascii="Times New Roman" w:hAnsi="Times New Roman"/>
                <w:sz w:val="20"/>
                <w:szCs w:val="20"/>
              </w:rPr>
            </w:pPr>
          </w:p>
        </w:tc>
      </w:tr>
      <w:tr w:rsidR="002541AD" w14:paraId="3750F1B3"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F1B0"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B2" wp14:editId="3750F8B3">
                  <wp:extent cx="304800" cy="304800"/>
                  <wp:effectExtent l="0" t="0" r="0" b="0"/>
                  <wp:docPr id="17" name="图片 113"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3"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1B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1B2"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32</w:t>
            </w:r>
          </w:p>
        </w:tc>
      </w:tr>
    </w:tbl>
    <w:p w14:paraId="3750F1B4" w14:textId="77777777" w:rsidR="002541AD" w:rsidRDefault="002541AD">
      <w:pPr>
        <w:spacing w:line="288" w:lineRule="auto"/>
        <w:rPr>
          <w:rFonts w:ascii="Times New Roman" w:hAnsi="Times New Roman"/>
          <w:sz w:val="18"/>
          <w:szCs w:val="18"/>
        </w:rPr>
      </w:pPr>
    </w:p>
    <w:p w14:paraId="3750F1B5" w14:textId="77777777" w:rsidR="002541AD" w:rsidRDefault="00901AA6">
      <w:r>
        <w:rPr>
          <w:rFonts w:ascii="Times New Roman" w:hAnsi="Times New Roman"/>
          <w:sz w:val="18"/>
          <w:szCs w:val="18"/>
        </w:rPr>
        <w:pict w14:anchorId="3750F8B4">
          <v:rect id="_x0000_i1058" style="width:415.3pt;height:1.5pt" o:hralign="center" o:hrstd="t" o:hr="t" fillcolor="#a0a0a0" stroked="f"/>
        </w:pict>
      </w:r>
    </w:p>
    <w:p w14:paraId="3750F1B6" w14:textId="77777777" w:rsidR="002541AD" w:rsidRDefault="00901AA6">
      <w:pPr>
        <w:spacing w:line="288" w:lineRule="auto"/>
        <w:jc w:val="right"/>
        <w:rPr>
          <w:rFonts w:ascii="Times New Roman" w:hAnsi="Times New Roman"/>
          <w:sz w:val="16"/>
          <w:szCs w:val="16"/>
        </w:rPr>
      </w:pPr>
      <w:hyperlink r:id="rId61" w:anchor="s2CABEAF4222C52B4A34547BF538A8C27" w:history="1">
        <w:r>
          <w:rPr>
            <w:rStyle w:val="a5"/>
            <w:rFonts w:ascii="Arial" w:eastAsia="宋体" w:hAnsi="Arial" w:cs="Arial"/>
            <w:b/>
            <w:bCs/>
            <w:sz w:val="16"/>
            <w:szCs w:val="16"/>
          </w:rPr>
          <w:t>Table of Contents</w:t>
        </w:r>
      </w:hyperlink>
    </w:p>
    <w:p w14:paraId="3750F1B7" w14:textId="77777777" w:rsidR="002541AD" w:rsidRDefault="002541AD">
      <w:pPr>
        <w:spacing w:line="288" w:lineRule="auto"/>
        <w:jc w:val="right"/>
        <w:rPr>
          <w:rFonts w:ascii="Times New Roman" w:hAnsi="Times New Roman"/>
          <w:sz w:val="18"/>
          <w:szCs w:val="18"/>
        </w:rPr>
      </w:pPr>
    </w:p>
    <w:p w14:paraId="3750F1B8" w14:textId="77777777" w:rsidR="002541AD" w:rsidRDefault="002541AD">
      <w:pPr>
        <w:rPr>
          <w:rFonts w:ascii="Times New Roman" w:hAnsi="Times New Roman"/>
          <w:sz w:val="20"/>
          <w:szCs w:val="20"/>
        </w:rPr>
      </w:pPr>
    </w:p>
    <w:p w14:paraId="3750F1B9"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REVENUE</w:t>
      </w:r>
    </w:p>
    <w:tbl>
      <w:tblPr>
        <w:tblW w:w="14640" w:type="dxa"/>
        <w:tblCellMar>
          <w:left w:w="0" w:type="dxa"/>
          <w:right w:w="0" w:type="dxa"/>
        </w:tblCellMar>
        <w:tblLook w:val="04A0" w:firstRow="1" w:lastRow="0" w:firstColumn="1" w:lastColumn="0" w:noHBand="0" w:noVBand="1"/>
      </w:tblPr>
      <w:tblGrid>
        <w:gridCol w:w="160"/>
        <w:gridCol w:w="14320"/>
        <w:gridCol w:w="160"/>
      </w:tblGrid>
      <w:tr w:rsidR="002541AD" w14:paraId="3750F1BB" w14:textId="77777777">
        <w:tc>
          <w:tcPr>
            <w:tcW w:w="0" w:type="auto"/>
            <w:gridSpan w:val="3"/>
            <w:shd w:val="clear" w:color="auto" w:fill="auto"/>
            <w:vAlign w:val="center"/>
          </w:tcPr>
          <w:p w14:paraId="3750F1BA" w14:textId="77777777" w:rsidR="002541AD" w:rsidRDefault="002541AD">
            <w:pPr>
              <w:rPr>
                <w:rFonts w:ascii="Times New Roman" w:hAnsi="Times New Roman"/>
                <w:sz w:val="20"/>
                <w:szCs w:val="20"/>
              </w:rPr>
            </w:pPr>
          </w:p>
        </w:tc>
      </w:tr>
      <w:tr w:rsidR="002541AD" w14:paraId="3750F1BF" w14:textId="77777777">
        <w:tc>
          <w:tcPr>
            <w:tcW w:w="160" w:type="dxa"/>
            <w:shd w:val="clear" w:color="auto" w:fill="auto"/>
            <w:vAlign w:val="center"/>
          </w:tcPr>
          <w:p w14:paraId="3750F1BC" w14:textId="77777777" w:rsidR="002541AD" w:rsidRDefault="002541AD">
            <w:pPr>
              <w:rPr>
                <w:rFonts w:ascii="Times New Roman" w:hAnsi="Times New Roman"/>
                <w:sz w:val="20"/>
                <w:szCs w:val="20"/>
              </w:rPr>
            </w:pPr>
          </w:p>
        </w:tc>
        <w:tc>
          <w:tcPr>
            <w:tcW w:w="14320" w:type="dxa"/>
            <w:shd w:val="clear" w:color="auto" w:fill="auto"/>
            <w:vAlign w:val="center"/>
          </w:tcPr>
          <w:p w14:paraId="3750F1BD" w14:textId="77777777" w:rsidR="002541AD" w:rsidRDefault="002541AD">
            <w:pPr>
              <w:rPr>
                <w:rFonts w:ascii="Times New Roman" w:hAnsi="Times New Roman"/>
                <w:sz w:val="20"/>
                <w:szCs w:val="20"/>
              </w:rPr>
            </w:pPr>
          </w:p>
        </w:tc>
        <w:tc>
          <w:tcPr>
            <w:tcW w:w="160" w:type="dxa"/>
            <w:shd w:val="clear" w:color="auto" w:fill="auto"/>
            <w:vAlign w:val="center"/>
          </w:tcPr>
          <w:p w14:paraId="3750F1BE" w14:textId="77777777" w:rsidR="002541AD" w:rsidRDefault="002541AD">
            <w:pPr>
              <w:rPr>
                <w:rFonts w:ascii="Times New Roman" w:hAnsi="Times New Roman"/>
                <w:sz w:val="20"/>
                <w:szCs w:val="20"/>
              </w:rPr>
            </w:pPr>
          </w:p>
        </w:tc>
      </w:tr>
      <w:tr w:rsidR="002541AD" w14:paraId="3750F1C2"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3750F1C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right w:w="40" w:type="dxa"/>
            </w:tcMar>
            <w:vAlign w:val="center"/>
          </w:tcPr>
          <w:p w14:paraId="3750F1C1" w14:textId="77777777" w:rsidR="002541AD" w:rsidRDefault="00901AA6">
            <w:pPr>
              <w:jc w:val="center"/>
              <w:textAlignment w:val="center"/>
              <w:rPr>
                <w:rFonts w:ascii="Times New Roman" w:hAnsi="Times New Roman"/>
                <w:sz w:val="20"/>
                <w:szCs w:val="20"/>
              </w:rPr>
            </w:pPr>
            <w:r>
              <w:rPr>
                <w:rFonts w:ascii="Arial" w:eastAsia="宋体" w:hAnsi="Arial" w:cs="Arial"/>
                <w:b/>
                <w:bCs/>
                <w:color w:val="0071C5"/>
                <w:sz w:val="20"/>
                <w:szCs w:val="20"/>
              </w:rPr>
              <w:t>SEGMENT REVENUE WALK $B</w:t>
            </w:r>
          </w:p>
        </w:tc>
      </w:tr>
    </w:tbl>
    <w:p w14:paraId="3750F1C3" w14:textId="77777777" w:rsidR="002541AD" w:rsidRDefault="002541AD">
      <w:pPr>
        <w:spacing w:line="288" w:lineRule="auto"/>
        <w:rPr>
          <w:rFonts w:ascii="Times New Roman" w:hAnsi="Times New Roman"/>
          <w:sz w:val="18"/>
          <w:szCs w:val="18"/>
        </w:rPr>
      </w:pPr>
    </w:p>
    <w:p w14:paraId="3750F1C4" w14:textId="77777777" w:rsidR="002541AD" w:rsidRDefault="00901AA6">
      <w:pPr>
        <w:spacing w:line="288" w:lineRule="auto"/>
        <w:ind w:firstLine="2880"/>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Viewer11_files/consolrevwalk.jpg"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3750F8B5" wp14:editId="3750F8B6">
            <wp:extent cx="304800" cy="304800"/>
            <wp:effectExtent l="0" t="0" r="0" b="0"/>
            <wp:docPr id="18" name="图片 115"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5" descr="IMG_30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p>
    <w:p w14:paraId="3750F1C5" w14:textId="77777777" w:rsidR="002541AD" w:rsidRDefault="00901AA6">
      <w:pPr>
        <w:spacing w:line="288" w:lineRule="auto"/>
        <w:rPr>
          <w:rFonts w:ascii="Times New Roman" w:hAnsi="Times New Roman"/>
          <w:sz w:val="20"/>
          <w:szCs w:val="20"/>
        </w:rPr>
      </w:pPr>
      <w:r>
        <w:rPr>
          <w:rFonts w:ascii="Arial" w:eastAsia="宋体" w:hAnsi="Arial" w:cs="Arial"/>
          <w:b/>
          <w:bCs/>
          <w:color w:val="333333"/>
          <w:sz w:val="20"/>
          <w:szCs w:val="20"/>
        </w:rPr>
        <w:t xml:space="preserve">Q1 2020 vs. Q1 2019 </w:t>
      </w:r>
    </w:p>
    <w:p w14:paraId="3750F1C6"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Our Q1 2020 revenue was $19.8 billion, up $3.8 billion or 23% from Q1 2019. Compared to a year ago, our data-centric businesses were collectively up 34% as demand from data center customers continued to strengthen as cloud service providers increased capac</w:t>
      </w:r>
      <w:r>
        <w:rPr>
          <w:rFonts w:ascii="Arial" w:eastAsia="宋体" w:hAnsi="Arial" w:cs="Arial"/>
          <w:color w:val="333333"/>
          <w:sz w:val="18"/>
          <w:szCs w:val="18"/>
        </w:rPr>
        <w:t xml:space="preserve">ity to serve customer demand. We also saw higher volume from strong demand for NAND products and an offset from weaker demand in IOTG. Revenue in our PC-centric business was up 14% year over year driven by strong notebook platform demand resulting from an </w:t>
      </w:r>
      <w:r>
        <w:rPr>
          <w:rFonts w:ascii="Arial" w:eastAsia="宋体" w:hAnsi="Arial" w:cs="Arial"/>
          <w:color w:val="333333"/>
          <w:sz w:val="18"/>
          <w:szCs w:val="18"/>
        </w:rPr>
        <w:t xml:space="preserve">increase in working and learning from home, and incremental growth in LTE modem. </w:t>
      </w:r>
    </w:p>
    <w:p w14:paraId="3750F1C7"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GROSS MARGIN</w:t>
      </w:r>
    </w:p>
    <w:p w14:paraId="3750F1C8"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We derived most of our overall gross margin from the sale of platform products in the CCG and DCG operating segments. Our overall gross margin dollars in Q1 </w:t>
      </w:r>
      <w:r>
        <w:rPr>
          <w:rFonts w:ascii="Arial" w:eastAsia="宋体" w:hAnsi="Arial" w:cs="Arial"/>
          <w:color w:val="333333"/>
          <w:sz w:val="18"/>
          <w:szCs w:val="18"/>
        </w:rPr>
        <w:t>2020 increased by $2.9 billion, or 32.2% compared to Q1 2019.</w:t>
      </w:r>
    </w:p>
    <w:tbl>
      <w:tblPr>
        <w:tblW w:w="14640" w:type="dxa"/>
        <w:tblCellMar>
          <w:left w:w="0" w:type="dxa"/>
          <w:right w:w="0" w:type="dxa"/>
        </w:tblCellMar>
        <w:tblLook w:val="04A0" w:firstRow="1" w:lastRow="0" w:firstColumn="1" w:lastColumn="0" w:noHBand="0" w:noVBand="1"/>
      </w:tblPr>
      <w:tblGrid>
        <w:gridCol w:w="14640"/>
      </w:tblGrid>
      <w:tr w:rsidR="002541AD" w14:paraId="3750F1CA" w14:textId="77777777">
        <w:tc>
          <w:tcPr>
            <w:tcW w:w="0" w:type="auto"/>
            <w:shd w:val="clear" w:color="auto" w:fill="auto"/>
            <w:vAlign w:val="center"/>
          </w:tcPr>
          <w:p w14:paraId="3750F1C9" w14:textId="77777777" w:rsidR="002541AD" w:rsidRDefault="002541AD">
            <w:pPr>
              <w:rPr>
                <w:rFonts w:ascii="Times New Roman" w:hAnsi="Times New Roman"/>
                <w:sz w:val="20"/>
                <w:szCs w:val="20"/>
              </w:rPr>
            </w:pPr>
          </w:p>
        </w:tc>
      </w:tr>
      <w:tr w:rsidR="002541AD" w14:paraId="3750F1CC" w14:textId="77777777">
        <w:tc>
          <w:tcPr>
            <w:tcW w:w="14640" w:type="dxa"/>
            <w:shd w:val="clear" w:color="auto" w:fill="auto"/>
            <w:vAlign w:val="center"/>
          </w:tcPr>
          <w:p w14:paraId="3750F1CB" w14:textId="77777777" w:rsidR="002541AD" w:rsidRDefault="002541AD">
            <w:pPr>
              <w:rPr>
                <w:rFonts w:ascii="Times New Roman" w:hAnsi="Times New Roman"/>
                <w:sz w:val="20"/>
                <w:szCs w:val="20"/>
              </w:rPr>
            </w:pPr>
          </w:p>
        </w:tc>
      </w:tr>
      <w:tr w:rsidR="002541AD" w14:paraId="3750F1CE"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3750F1CD" w14:textId="77777777" w:rsidR="002541AD" w:rsidRDefault="00901AA6">
            <w:pPr>
              <w:jc w:val="center"/>
              <w:textAlignment w:val="bottom"/>
              <w:rPr>
                <w:rFonts w:ascii="Times New Roman" w:hAnsi="Times New Roman"/>
                <w:sz w:val="20"/>
                <w:szCs w:val="20"/>
              </w:rPr>
            </w:pPr>
            <w:r>
              <w:rPr>
                <w:rFonts w:ascii="Arial" w:eastAsia="宋体" w:hAnsi="Arial" w:cs="Arial"/>
                <w:b/>
                <w:bCs/>
                <w:color w:val="0071C5"/>
                <w:sz w:val="20"/>
                <w:szCs w:val="20"/>
              </w:rPr>
              <w:t>GROSS MARGIN $B</w:t>
            </w:r>
          </w:p>
        </w:tc>
      </w:tr>
    </w:tbl>
    <w:p w14:paraId="3750F1CF" w14:textId="77777777" w:rsidR="002541AD" w:rsidRDefault="00901AA6">
      <w:pPr>
        <w:spacing w:line="288" w:lineRule="auto"/>
        <w:ind w:firstLine="3120"/>
        <w:rPr>
          <w:rFonts w:ascii="Times New Roman" w:hAnsi="Times New Roman"/>
          <w:sz w:val="18"/>
          <w:szCs w:val="18"/>
        </w:rPr>
      </w:pPr>
      <w:r>
        <w:rPr>
          <w:rFonts w:ascii="Arial" w:eastAsia="宋体" w:hAnsi="Arial" w:cs="Arial"/>
          <w:color w:val="333333"/>
          <w:sz w:val="18"/>
          <w:szCs w:val="18"/>
        </w:rPr>
        <w:t>(Percentages in chart indicate gross margin as a percentage of total revenue)</w:t>
      </w:r>
    </w:p>
    <w:p w14:paraId="3750F1D0" w14:textId="77777777" w:rsidR="002541AD" w:rsidRDefault="00901AA6">
      <w:pPr>
        <w:spacing w:line="288" w:lineRule="auto"/>
        <w:ind w:firstLine="3600"/>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Viewer11_files/consol_gm.jpg"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3750F8B7" wp14:editId="3750F8B8">
            <wp:extent cx="304800" cy="304800"/>
            <wp:effectExtent l="0" t="0" r="0" b="0"/>
            <wp:docPr id="19" name="图片 116"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6" descr="IMG_30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p>
    <w:tbl>
      <w:tblPr>
        <w:tblW w:w="5000" w:type="pct"/>
        <w:tblCellMar>
          <w:left w:w="0" w:type="dxa"/>
          <w:right w:w="0" w:type="dxa"/>
        </w:tblCellMar>
        <w:tblLook w:val="04A0" w:firstRow="1" w:lastRow="0" w:firstColumn="1" w:lastColumn="0" w:noHBand="0" w:noVBand="1"/>
      </w:tblPr>
      <w:tblGrid>
        <w:gridCol w:w="142"/>
        <w:gridCol w:w="769"/>
        <w:gridCol w:w="100"/>
        <w:gridCol w:w="130"/>
        <w:gridCol w:w="7165"/>
      </w:tblGrid>
      <w:tr w:rsidR="002541AD" w14:paraId="3750F1D2" w14:textId="77777777">
        <w:tc>
          <w:tcPr>
            <w:tcW w:w="0" w:type="auto"/>
            <w:gridSpan w:val="5"/>
            <w:shd w:val="clear" w:color="auto" w:fill="auto"/>
            <w:vAlign w:val="center"/>
          </w:tcPr>
          <w:p w14:paraId="3750F1D1" w14:textId="77777777" w:rsidR="002541AD" w:rsidRDefault="002541AD">
            <w:pPr>
              <w:rPr>
                <w:rFonts w:ascii="Times New Roman" w:hAnsi="Times New Roman"/>
                <w:sz w:val="20"/>
                <w:szCs w:val="20"/>
              </w:rPr>
            </w:pPr>
          </w:p>
        </w:tc>
      </w:tr>
      <w:tr w:rsidR="002541AD" w14:paraId="3750F1D8" w14:textId="77777777">
        <w:tc>
          <w:tcPr>
            <w:tcW w:w="50" w:type="pct"/>
            <w:shd w:val="clear" w:color="auto" w:fill="auto"/>
            <w:vAlign w:val="center"/>
          </w:tcPr>
          <w:p w14:paraId="3750F1D3" w14:textId="77777777" w:rsidR="002541AD" w:rsidRDefault="002541AD">
            <w:pPr>
              <w:rPr>
                <w:rFonts w:ascii="Times New Roman" w:hAnsi="Times New Roman"/>
                <w:sz w:val="20"/>
                <w:szCs w:val="20"/>
              </w:rPr>
            </w:pPr>
          </w:p>
        </w:tc>
        <w:tc>
          <w:tcPr>
            <w:tcW w:w="500" w:type="pct"/>
            <w:shd w:val="clear" w:color="auto" w:fill="auto"/>
            <w:vAlign w:val="center"/>
          </w:tcPr>
          <w:p w14:paraId="3750F1D4" w14:textId="77777777" w:rsidR="002541AD" w:rsidRDefault="002541AD">
            <w:pPr>
              <w:rPr>
                <w:rFonts w:ascii="Times New Roman" w:hAnsi="Times New Roman"/>
                <w:sz w:val="20"/>
                <w:szCs w:val="20"/>
              </w:rPr>
            </w:pPr>
          </w:p>
        </w:tc>
        <w:tc>
          <w:tcPr>
            <w:tcW w:w="50" w:type="pct"/>
            <w:shd w:val="clear" w:color="auto" w:fill="auto"/>
            <w:vAlign w:val="center"/>
          </w:tcPr>
          <w:p w14:paraId="3750F1D5" w14:textId="77777777" w:rsidR="002541AD" w:rsidRDefault="002541AD">
            <w:pPr>
              <w:rPr>
                <w:rFonts w:ascii="Times New Roman" w:hAnsi="Times New Roman"/>
                <w:sz w:val="20"/>
                <w:szCs w:val="20"/>
              </w:rPr>
            </w:pPr>
          </w:p>
        </w:tc>
        <w:tc>
          <w:tcPr>
            <w:tcW w:w="50" w:type="pct"/>
            <w:shd w:val="clear" w:color="auto" w:fill="auto"/>
            <w:vAlign w:val="center"/>
          </w:tcPr>
          <w:p w14:paraId="3750F1D6" w14:textId="77777777" w:rsidR="002541AD" w:rsidRDefault="002541AD">
            <w:pPr>
              <w:rPr>
                <w:rFonts w:ascii="Times New Roman" w:hAnsi="Times New Roman"/>
                <w:sz w:val="20"/>
                <w:szCs w:val="20"/>
              </w:rPr>
            </w:pPr>
          </w:p>
        </w:tc>
        <w:tc>
          <w:tcPr>
            <w:tcW w:w="4350" w:type="pct"/>
            <w:shd w:val="clear" w:color="auto" w:fill="auto"/>
            <w:vAlign w:val="center"/>
          </w:tcPr>
          <w:p w14:paraId="3750F1D7" w14:textId="77777777" w:rsidR="002541AD" w:rsidRDefault="002541AD">
            <w:pPr>
              <w:rPr>
                <w:rFonts w:ascii="Times New Roman" w:hAnsi="Times New Roman"/>
                <w:sz w:val="20"/>
                <w:szCs w:val="20"/>
              </w:rPr>
            </w:pPr>
          </w:p>
        </w:tc>
      </w:tr>
      <w:tr w:rsidR="002541AD" w14:paraId="3750F1DC" w14:textId="77777777">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F1D9"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F1D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F1D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1E2" w14:textId="77777777">
        <w:tc>
          <w:tcPr>
            <w:tcW w:w="0" w:type="auto"/>
            <w:tcBorders>
              <w:top w:val="single" w:sz="8" w:space="0" w:color="0071C5"/>
            </w:tcBorders>
            <w:shd w:val="clear" w:color="auto" w:fill="auto"/>
            <w:tcMar>
              <w:top w:w="40" w:type="dxa"/>
              <w:left w:w="40" w:type="dxa"/>
              <w:bottom w:w="40" w:type="dxa"/>
            </w:tcMar>
            <w:vAlign w:val="bottom"/>
          </w:tcPr>
          <w:p w14:paraId="3750F1DD"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3750F1DE"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12,016</w:t>
            </w:r>
          </w:p>
        </w:tc>
        <w:tc>
          <w:tcPr>
            <w:tcW w:w="0" w:type="auto"/>
            <w:tcBorders>
              <w:top w:val="single" w:sz="8" w:space="0" w:color="0071C5"/>
            </w:tcBorders>
            <w:shd w:val="clear" w:color="auto" w:fill="auto"/>
            <w:vAlign w:val="bottom"/>
          </w:tcPr>
          <w:p w14:paraId="3750F1D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E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1E1"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Q1 2020 Gross Margin</w:t>
            </w:r>
          </w:p>
        </w:tc>
      </w:tr>
      <w:tr w:rsidR="002541AD" w14:paraId="3750F1E7" w14:textId="77777777">
        <w:tc>
          <w:tcPr>
            <w:tcW w:w="0" w:type="auto"/>
            <w:gridSpan w:val="2"/>
            <w:tcBorders>
              <w:top w:val="single" w:sz="8" w:space="0" w:color="333333"/>
            </w:tcBorders>
            <w:shd w:val="clear" w:color="auto" w:fill="auto"/>
            <w:tcMar>
              <w:top w:w="40" w:type="dxa"/>
              <w:left w:w="40" w:type="dxa"/>
              <w:bottom w:w="40" w:type="dxa"/>
            </w:tcMar>
            <w:vAlign w:val="center"/>
          </w:tcPr>
          <w:p w14:paraId="3750F1E3" w14:textId="77777777" w:rsidR="002541AD" w:rsidRDefault="00901AA6">
            <w:pPr>
              <w:jc w:val="right"/>
              <w:textAlignment w:val="center"/>
              <w:rPr>
                <w:rFonts w:ascii="Times New Roman" w:hAnsi="Times New Roman"/>
                <w:sz w:val="18"/>
                <w:szCs w:val="18"/>
              </w:rPr>
            </w:pPr>
            <w:r>
              <w:rPr>
                <w:rFonts w:ascii="Arial" w:eastAsia="宋体" w:hAnsi="Arial" w:cs="Arial"/>
                <w:color w:val="0071C5"/>
                <w:sz w:val="18"/>
                <w:szCs w:val="18"/>
              </w:rPr>
              <w:t>2,470</w:t>
            </w:r>
          </w:p>
        </w:tc>
        <w:tc>
          <w:tcPr>
            <w:tcW w:w="0" w:type="auto"/>
            <w:tcBorders>
              <w:top w:val="single" w:sz="8" w:space="0" w:color="333333"/>
            </w:tcBorders>
            <w:shd w:val="clear" w:color="auto" w:fill="auto"/>
            <w:vAlign w:val="bottom"/>
          </w:tcPr>
          <w:p w14:paraId="3750F1E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E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tcBorders>
            <w:shd w:val="clear" w:color="auto" w:fill="auto"/>
            <w:tcMar>
              <w:top w:w="40" w:type="dxa"/>
              <w:left w:w="40" w:type="dxa"/>
              <w:bottom w:w="40" w:type="dxa"/>
              <w:right w:w="40" w:type="dxa"/>
            </w:tcMar>
          </w:tcPr>
          <w:p w14:paraId="3750F1E6" w14:textId="77777777" w:rsidR="002541AD" w:rsidRDefault="00901AA6">
            <w:pPr>
              <w:textAlignment w:val="top"/>
              <w:rPr>
                <w:rFonts w:ascii="Times New Roman" w:hAnsi="Times New Roman"/>
                <w:sz w:val="18"/>
                <w:szCs w:val="18"/>
              </w:rPr>
            </w:pPr>
            <w:r>
              <w:rPr>
                <w:rFonts w:ascii="Arial" w:eastAsia="宋体" w:hAnsi="Arial" w:cs="Arial"/>
                <w:color w:val="0071C5"/>
                <w:sz w:val="18"/>
                <w:szCs w:val="18"/>
              </w:rPr>
              <w:t xml:space="preserve">Higher gross margin from platform </w:t>
            </w:r>
            <w:r>
              <w:rPr>
                <w:rFonts w:ascii="Arial" w:eastAsia="宋体" w:hAnsi="Arial" w:cs="Arial"/>
                <w:color w:val="0071C5"/>
                <w:sz w:val="18"/>
                <w:szCs w:val="18"/>
              </w:rPr>
              <w:t>revenue</w:t>
            </w:r>
          </w:p>
        </w:tc>
      </w:tr>
      <w:tr w:rsidR="002541AD" w14:paraId="3750F1EC" w14:textId="77777777">
        <w:tc>
          <w:tcPr>
            <w:tcW w:w="0" w:type="auto"/>
            <w:gridSpan w:val="2"/>
            <w:shd w:val="clear" w:color="auto" w:fill="auto"/>
            <w:tcMar>
              <w:top w:w="40" w:type="dxa"/>
              <w:left w:w="40" w:type="dxa"/>
              <w:bottom w:w="40" w:type="dxa"/>
            </w:tcMar>
          </w:tcPr>
          <w:p w14:paraId="3750F1E8" w14:textId="77777777" w:rsidR="002541AD" w:rsidRDefault="00901AA6">
            <w:pPr>
              <w:jc w:val="right"/>
              <w:textAlignment w:val="top"/>
              <w:rPr>
                <w:rFonts w:ascii="Times New Roman" w:hAnsi="Times New Roman"/>
                <w:sz w:val="18"/>
                <w:szCs w:val="18"/>
              </w:rPr>
            </w:pPr>
            <w:r>
              <w:rPr>
                <w:rFonts w:ascii="Arial" w:eastAsia="宋体" w:hAnsi="Arial" w:cs="Arial"/>
                <w:color w:val="0071C5"/>
                <w:sz w:val="18"/>
                <w:szCs w:val="18"/>
              </w:rPr>
              <w:t>770</w:t>
            </w:r>
          </w:p>
        </w:tc>
        <w:tc>
          <w:tcPr>
            <w:tcW w:w="0" w:type="auto"/>
            <w:shd w:val="clear" w:color="auto" w:fill="auto"/>
            <w:vAlign w:val="bottom"/>
          </w:tcPr>
          <w:p w14:paraId="3750F1E9"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E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1EB" w14:textId="77777777" w:rsidR="002541AD" w:rsidRDefault="00901AA6">
            <w:pPr>
              <w:textAlignment w:val="top"/>
              <w:rPr>
                <w:rFonts w:ascii="Times New Roman" w:hAnsi="Times New Roman"/>
                <w:sz w:val="18"/>
                <w:szCs w:val="18"/>
              </w:rPr>
            </w:pPr>
            <w:r>
              <w:rPr>
                <w:rFonts w:ascii="Arial" w:eastAsia="宋体" w:hAnsi="Arial" w:cs="Arial"/>
                <w:color w:val="0071C5"/>
                <w:sz w:val="18"/>
                <w:szCs w:val="18"/>
              </w:rPr>
              <w:t>Lower period charges primarily due to 2019 reserved non-qualified platform product</w:t>
            </w:r>
          </w:p>
        </w:tc>
      </w:tr>
      <w:tr w:rsidR="002541AD" w14:paraId="3750F1F1" w14:textId="77777777">
        <w:tc>
          <w:tcPr>
            <w:tcW w:w="0" w:type="auto"/>
            <w:gridSpan w:val="2"/>
            <w:shd w:val="clear" w:color="auto" w:fill="auto"/>
            <w:tcMar>
              <w:top w:w="40" w:type="dxa"/>
              <w:left w:w="40" w:type="dxa"/>
              <w:bottom w:w="40" w:type="dxa"/>
            </w:tcMar>
          </w:tcPr>
          <w:p w14:paraId="3750F1ED" w14:textId="77777777" w:rsidR="002541AD" w:rsidRDefault="00901AA6">
            <w:pPr>
              <w:jc w:val="right"/>
              <w:textAlignment w:val="top"/>
              <w:rPr>
                <w:rFonts w:ascii="Times New Roman" w:hAnsi="Times New Roman"/>
                <w:sz w:val="18"/>
                <w:szCs w:val="18"/>
              </w:rPr>
            </w:pPr>
            <w:r>
              <w:rPr>
                <w:rFonts w:ascii="Arial" w:eastAsia="宋体" w:hAnsi="Arial" w:cs="Arial"/>
                <w:color w:val="0071C5"/>
                <w:sz w:val="18"/>
                <w:szCs w:val="18"/>
              </w:rPr>
              <w:t>335</w:t>
            </w:r>
          </w:p>
        </w:tc>
        <w:tc>
          <w:tcPr>
            <w:tcW w:w="0" w:type="auto"/>
            <w:shd w:val="clear" w:color="auto" w:fill="auto"/>
            <w:vAlign w:val="bottom"/>
          </w:tcPr>
          <w:p w14:paraId="3750F1E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E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1F0" w14:textId="77777777" w:rsidR="002541AD" w:rsidRDefault="00901AA6">
            <w:pPr>
              <w:textAlignment w:val="top"/>
              <w:rPr>
                <w:rFonts w:ascii="Times New Roman" w:hAnsi="Times New Roman"/>
                <w:sz w:val="18"/>
                <w:szCs w:val="18"/>
              </w:rPr>
            </w:pPr>
            <w:r>
              <w:rPr>
                <w:rFonts w:ascii="Arial" w:eastAsia="宋体" w:hAnsi="Arial" w:cs="Arial"/>
                <w:color w:val="0071C5"/>
                <w:sz w:val="18"/>
                <w:szCs w:val="18"/>
              </w:rPr>
              <w:t>Higher gross margin from adjacent businesses primarily due to NAND</w:t>
            </w:r>
          </w:p>
        </w:tc>
      </w:tr>
      <w:tr w:rsidR="002541AD" w14:paraId="3750F1F6" w14:textId="77777777">
        <w:tc>
          <w:tcPr>
            <w:tcW w:w="0" w:type="auto"/>
            <w:gridSpan w:val="2"/>
            <w:shd w:val="clear" w:color="auto" w:fill="auto"/>
            <w:tcMar>
              <w:top w:w="40" w:type="dxa"/>
              <w:left w:w="40" w:type="dxa"/>
              <w:bottom w:w="40" w:type="dxa"/>
            </w:tcMar>
          </w:tcPr>
          <w:p w14:paraId="3750F1F2" w14:textId="77777777" w:rsidR="002541AD" w:rsidRDefault="00901AA6">
            <w:pPr>
              <w:jc w:val="right"/>
              <w:textAlignment w:val="top"/>
              <w:rPr>
                <w:rFonts w:ascii="Times New Roman" w:hAnsi="Times New Roman"/>
                <w:sz w:val="18"/>
                <w:szCs w:val="18"/>
              </w:rPr>
            </w:pPr>
            <w:r>
              <w:rPr>
                <w:rFonts w:ascii="Arial" w:eastAsia="宋体" w:hAnsi="Arial" w:cs="Arial"/>
                <w:color w:val="0071C5"/>
                <w:sz w:val="18"/>
                <w:szCs w:val="18"/>
              </w:rPr>
              <w:t>(585</w:t>
            </w:r>
          </w:p>
        </w:tc>
        <w:tc>
          <w:tcPr>
            <w:tcW w:w="0" w:type="auto"/>
            <w:shd w:val="clear" w:color="auto" w:fill="auto"/>
            <w:tcMar>
              <w:top w:w="40" w:type="dxa"/>
              <w:bottom w:w="40" w:type="dxa"/>
              <w:right w:w="40" w:type="dxa"/>
            </w:tcMar>
          </w:tcPr>
          <w:p w14:paraId="3750F1F3" w14:textId="77777777" w:rsidR="002541AD" w:rsidRDefault="00901AA6">
            <w:pPr>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F1F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1F5" w14:textId="77777777" w:rsidR="002541AD" w:rsidRDefault="00901AA6">
            <w:pPr>
              <w:textAlignment w:val="top"/>
              <w:rPr>
                <w:rFonts w:ascii="Times New Roman" w:hAnsi="Times New Roman"/>
                <w:sz w:val="18"/>
                <w:szCs w:val="18"/>
              </w:rPr>
            </w:pPr>
            <w:r>
              <w:rPr>
                <w:rFonts w:ascii="Arial" w:eastAsia="宋体" w:hAnsi="Arial" w:cs="Arial"/>
                <w:color w:val="0071C5"/>
                <w:sz w:val="18"/>
                <w:szCs w:val="18"/>
              </w:rPr>
              <w:t xml:space="preserve">Higher platform unit cost primarily from increased mix of 10nm and </w:t>
            </w:r>
            <w:r>
              <w:rPr>
                <w:rFonts w:ascii="Arial" w:eastAsia="宋体" w:hAnsi="Arial" w:cs="Arial"/>
                <w:color w:val="0071C5"/>
                <w:sz w:val="18"/>
                <w:szCs w:val="18"/>
              </w:rPr>
              <w:t>performance products</w:t>
            </w:r>
          </w:p>
        </w:tc>
      </w:tr>
      <w:tr w:rsidR="002541AD" w14:paraId="3750F1FB" w14:textId="77777777">
        <w:tc>
          <w:tcPr>
            <w:tcW w:w="0" w:type="auto"/>
            <w:gridSpan w:val="2"/>
            <w:shd w:val="clear" w:color="auto" w:fill="auto"/>
            <w:tcMar>
              <w:top w:w="40" w:type="dxa"/>
              <w:left w:w="40" w:type="dxa"/>
              <w:bottom w:w="40" w:type="dxa"/>
            </w:tcMar>
          </w:tcPr>
          <w:p w14:paraId="3750F1F7" w14:textId="77777777" w:rsidR="002541AD" w:rsidRDefault="00901AA6">
            <w:pPr>
              <w:jc w:val="right"/>
              <w:textAlignment w:val="top"/>
              <w:rPr>
                <w:rFonts w:ascii="Times New Roman" w:hAnsi="Times New Roman"/>
                <w:sz w:val="18"/>
                <w:szCs w:val="18"/>
              </w:rPr>
            </w:pPr>
            <w:r>
              <w:rPr>
                <w:rFonts w:ascii="Arial" w:eastAsia="宋体" w:hAnsi="Arial" w:cs="Arial"/>
                <w:color w:val="0071C5"/>
                <w:sz w:val="18"/>
                <w:szCs w:val="18"/>
              </w:rPr>
              <w:t>(63</w:t>
            </w:r>
          </w:p>
        </w:tc>
        <w:tc>
          <w:tcPr>
            <w:tcW w:w="0" w:type="auto"/>
            <w:shd w:val="clear" w:color="auto" w:fill="auto"/>
            <w:tcMar>
              <w:top w:w="40" w:type="dxa"/>
              <w:bottom w:w="40" w:type="dxa"/>
              <w:right w:w="40" w:type="dxa"/>
            </w:tcMar>
          </w:tcPr>
          <w:p w14:paraId="3750F1F8" w14:textId="77777777" w:rsidR="002541AD" w:rsidRDefault="00901AA6">
            <w:pPr>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F1F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1FA" w14:textId="77777777" w:rsidR="002541AD" w:rsidRDefault="00901AA6">
            <w:pPr>
              <w:textAlignment w:val="top"/>
              <w:rPr>
                <w:rFonts w:ascii="Times New Roman" w:hAnsi="Times New Roman"/>
                <w:sz w:val="18"/>
                <w:szCs w:val="18"/>
              </w:rPr>
            </w:pPr>
            <w:r>
              <w:rPr>
                <w:rFonts w:ascii="Arial" w:eastAsia="宋体" w:hAnsi="Arial" w:cs="Arial"/>
                <w:color w:val="0071C5"/>
                <w:sz w:val="18"/>
                <w:szCs w:val="18"/>
              </w:rPr>
              <w:t>Other</w:t>
            </w:r>
          </w:p>
        </w:tc>
      </w:tr>
      <w:tr w:rsidR="002541AD" w14:paraId="3750F201" w14:textId="77777777">
        <w:tc>
          <w:tcPr>
            <w:tcW w:w="0" w:type="auto"/>
            <w:tcBorders>
              <w:top w:val="single" w:sz="8" w:space="0" w:color="333333"/>
              <w:bottom w:val="single" w:sz="8" w:space="0" w:color="333333"/>
            </w:tcBorders>
            <w:shd w:val="clear" w:color="auto" w:fill="auto"/>
            <w:tcMar>
              <w:top w:w="40" w:type="dxa"/>
              <w:left w:w="40" w:type="dxa"/>
              <w:bottom w:w="40" w:type="dxa"/>
            </w:tcMar>
            <w:vAlign w:val="bottom"/>
          </w:tcPr>
          <w:p w14:paraId="3750F1FC"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single" w:sz="8" w:space="0" w:color="333333"/>
            </w:tcBorders>
            <w:shd w:val="clear" w:color="auto" w:fill="auto"/>
            <w:tcMar>
              <w:top w:w="40" w:type="dxa"/>
              <w:bottom w:w="40" w:type="dxa"/>
            </w:tcMar>
            <w:vAlign w:val="bottom"/>
          </w:tcPr>
          <w:p w14:paraId="3750F1FD"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9,089</w:t>
            </w:r>
          </w:p>
        </w:tc>
        <w:tc>
          <w:tcPr>
            <w:tcW w:w="0" w:type="auto"/>
            <w:tcBorders>
              <w:top w:val="single" w:sz="8" w:space="0" w:color="333333"/>
              <w:bottom w:val="single" w:sz="8" w:space="0" w:color="333333"/>
            </w:tcBorders>
            <w:shd w:val="clear" w:color="auto" w:fill="auto"/>
            <w:vAlign w:val="bottom"/>
          </w:tcPr>
          <w:p w14:paraId="3750F1F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1F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single" w:sz="8" w:space="0" w:color="333333"/>
            </w:tcBorders>
            <w:shd w:val="clear" w:color="auto" w:fill="auto"/>
            <w:tcMar>
              <w:top w:w="40" w:type="dxa"/>
              <w:left w:w="40" w:type="dxa"/>
              <w:bottom w:w="40" w:type="dxa"/>
              <w:right w:w="40" w:type="dxa"/>
            </w:tcMar>
            <w:vAlign w:val="bottom"/>
          </w:tcPr>
          <w:p w14:paraId="3750F200"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Q1 2019 Gross Margin</w:t>
            </w:r>
          </w:p>
        </w:tc>
      </w:tr>
      <w:tr w:rsidR="002541AD" w14:paraId="3750F205" w14:textId="77777777">
        <w:tc>
          <w:tcPr>
            <w:tcW w:w="0" w:type="auto"/>
            <w:gridSpan w:val="3"/>
            <w:shd w:val="clear" w:color="auto" w:fill="auto"/>
            <w:tcMar>
              <w:top w:w="40" w:type="dxa"/>
              <w:left w:w="40" w:type="dxa"/>
              <w:bottom w:w="40" w:type="dxa"/>
              <w:right w:w="40" w:type="dxa"/>
            </w:tcMar>
            <w:vAlign w:val="bottom"/>
          </w:tcPr>
          <w:p w14:paraId="3750F20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20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20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bl>
    <w:p w14:paraId="3750F206"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F208" w14:textId="77777777">
        <w:tc>
          <w:tcPr>
            <w:tcW w:w="0" w:type="auto"/>
            <w:gridSpan w:val="3"/>
            <w:shd w:val="clear" w:color="auto" w:fill="auto"/>
            <w:vAlign w:val="center"/>
          </w:tcPr>
          <w:p w14:paraId="3750F207" w14:textId="77777777" w:rsidR="002541AD" w:rsidRDefault="002541AD">
            <w:pPr>
              <w:rPr>
                <w:rFonts w:ascii="Times New Roman" w:hAnsi="Times New Roman"/>
                <w:sz w:val="20"/>
                <w:szCs w:val="20"/>
              </w:rPr>
            </w:pPr>
          </w:p>
        </w:tc>
      </w:tr>
      <w:tr w:rsidR="002541AD" w14:paraId="3750F20C" w14:textId="77777777">
        <w:tc>
          <w:tcPr>
            <w:tcW w:w="1550" w:type="pct"/>
            <w:shd w:val="clear" w:color="auto" w:fill="auto"/>
            <w:vAlign w:val="center"/>
          </w:tcPr>
          <w:p w14:paraId="3750F209" w14:textId="77777777" w:rsidR="002541AD" w:rsidRDefault="002541AD">
            <w:pPr>
              <w:rPr>
                <w:rFonts w:ascii="Times New Roman" w:hAnsi="Times New Roman"/>
                <w:sz w:val="20"/>
                <w:szCs w:val="20"/>
              </w:rPr>
            </w:pPr>
          </w:p>
        </w:tc>
        <w:tc>
          <w:tcPr>
            <w:tcW w:w="2200" w:type="pct"/>
            <w:shd w:val="clear" w:color="auto" w:fill="auto"/>
            <w:vAlign w:val="center"/>
          </w:tcPr>
          <w:p w14:paraId="3750F20A" w14:textId="77777777" w:rsidR="002541AD" w:rsidRDefault="002541AD">
            <w:pPr>
              <w:rPr>
                <w:rFonts w:ascii="Times New Roman" w:hAnsi="Times New Roman"/>
                <w:sz w:val="20"/>
                <w:szCs w:val="20"/>
              </w:rPr>
            </w:pPr>
          </w:p>
        </w:tc>
        <w:tc>
          <w:tcPr>
            <w:tcW w:w="1250" w:type="pct"/>
            <w:shd w:val="clear" w:color="auto" w:fill="auto"/>
            <w:vAlign w:val="center"/>
          </w:tcPr>
          <w:p w14:paraId="3750F20B" w14:textId="77777777" w:rsidR="002541AD" w:rsidRDefault="002541AD">
            <w:pPr>
              <w:rPr>
                <w:rFonts w:ascii="Times New Roman" w:hAnsi="Times New Roman"/>
                <w:sz w:val="20"/>
                <w:szCs w:val="20"/>
              </w:rPr>
            </w:pPr>
          </w:p>
        </w:tc>
      </w:tr>
      <w:tr w:rsidR="002541AD" w14:paraId="3750F210"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F20D"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B9" wp14:editId="3750F8BA">
                  <wp:extent cx="304800" cy="304800"/>
                  <wp:effectExtent l="0" t="0" r="0" b="0"/>
                  <wp:docPr id="13" name="图片 117"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7"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20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20F"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33</w:t>
            </w:r>
          </w:p>
        </w:tc>
      </w:tr>
    </w:tbl>
    <w:p w14:paraId="3750F211" w14:textId="77777777" w:rsidR="002541AD" w:rsidRDefault="002541AD">
      <w:pPr>
        <w:spacing w:line="288" w:lineRule="auto"/>
        <w:rPr>
          <w:rFonts w:ascii="Times New Roman" w:hAnsi="Times New Roman"/>
          <w:sz w:val="18"/>
          <w:szCs w:val="18"/>
        </w:rPr>
      </w:pPr>
    </w:p>
    <w:p w14:paraId="3750F212" w14:textId="77777777" w:rsidR="002541AD" w:rsidRDefault="00901AA6">
      <w:r>
        <w:rPr>
          <w:rFonts w:ascii="Times New Roman" w:hAnsi="Times New Roman"/>
          <w:sz w:val="18"/>
          <w:szCs w:val="18"/>
        </w:rPr>
        <w:pict w14:anchorId="3750F8BB">
          <v:rect id="_x0000_i1059" style="width:415.3pt;height:1.5pt" o:hralign="center" o:hrstd="t" o:hr="t" fillcolor="#a0a0a0" stroked="f"/>
        </w:pict>
      </w:r>
    </w:p>
    <w:p w14:paraId="3750F213" w14:textId="77777777" w:rsidR="002541AD" w:rsidRDefault="00901AA6">
      <w:pPr>
        <w:spacing w:line="288" w:lineRule="auto"/>
        <w:jc w:val="right"/>
        <w:rPr>
          <w:rFonts w:ascii="Times New Roman" w:hAnsi="Times New Roman"/>
          <w:sz w:val="16"/>
          <w:szCs w:val="16"/>
        </w:rPr>
      </w:pPr>
      <w:hyperlink r:id="rId62" w:anchor="s2CABEAF4222C52B4A34547BF538A8C27" w:history="1">
        <w:r>
          <w:rPr>
            <w:rStyle w:val="a5"/>
            <w:rFonts w:ascii="Arial" w:eastAsia="宋体" w:hAnsi="Arial" w:cs="Arial"/>
            <w:b/>
            <w:bCs/>
            <w:sz w:val="16"/>
            <w:szCs w:val="16"/>
          </w:rPr>
          <w:t>Table of Contents</w:t>
        </w:r>
      </w:hyperlink>
    </w:p>
    <w:p w14:paraId="3750F214" w14:textId="77777777" w:rsidR="002541AD" w:rsidRDefault="002541AD">
      <w:pPr>
        <w:spacing w:line="288" w:lineRule="auto"/>
        <w:jc w:val="right"/>
        <w:rPr>
          <w:rFonts w:ascii="Times New Roman" w:hAnsi="Times New Roman"/>
          <w:sz w:val="18"/>
          <w:szCs w:val="18"/>
        </w:rPr>
      </w:pPr>
    </w:p>
    <w:p w14:paraId="3750F215" w14:textId="77777777" w:rsidR="002541AD" w:rsidRDefault="002541AD">
      <w:pPr>
        <w:rPr>
          <w:rFonts w:ascii="Times New Roman" w:hAnsi="Times New Roman"/>
          <w:sz w:val="20"/>
          <w:szCs w:val="20"/>
        </w:rPr>
      </w:pPr>
    </w:p>
    <w:p w14:paraId="3750F216"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OPERATING EXPENSES</w:t>
      </w:r>
    </w:p>
    <w:p w14:paraId="3750F217"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Total R&amp;D and MG&amp;A expenses for Q1 2020 were $4.8 </w:t>
      </w:r>
      <w:r>
        <w:rPr>
          <w:rFonts w:ascii="Arial" w:eastAsia="宋体" w:hAnsi="Arial" w:cs="Arial"/>
          <w:color w:val="333333"/>
          <w:sz w:val="18"/>
          <w:szCs w:val="18"/>
        </w:rPr>
        <w:t>billion, down 2% from Q1 2019. These expenses represent 24.3% of revenue for Q1 2020 and 30.6% of revenue for Q1 2019.</w:t>
      </w:r>
    </w:p>
    <w:tbl>
      <w:tblPr>
        <w:tblW w:w="14300" w:type="dxa"/>
        <w:tblCellMar>
          <w:left w:w="0" w:type="dxa"/>
          <w:right w:w="0" w:type="dxa"/>
        </w:tblCellMar>
        <w:tblLook w:val="04A0" w:firstRow="1" w:lastRow="0" w:firstColumn="1" w:lastColumn="0" w:noHBand="0" w:noVBand="1"/>
      </w:tblPr>
      <w:tblGrid>
        <w:gridCol w:w="582"/>
        <w:gridCol w:w="5816"/>
        <w:gridCol w:w="1203"/>
        <w:gridCol w:w="6699"/>
      </w:tblGrid>
      <w:tr w:rsidR="002541AD" w14:paraId="3750F219" w14:textId="77777777">
        <w:tc>
          <w:tcPr>
            <w:tcW w:w="0" w:type="auto"/>
            <w:gridSpan w:val="4"/>
            <w:shd w:val="clear" w:color="auto" w:fill="auto"/>
            <w:vAlign w:val="center"/>
          </w:tcPr>
          <w:p w14:paraId="3750F218" w14:textId="77777777" w:rsidR="002541AD" w:rsidRDefault="002541AD">
            <w:pPr>
              <w:rPr>
                <w:rFonts w:ascii="Times New Roman" w:hAnsi="Times New Roman"/>
                <w:sz w:val="20"/>
                <w:szCs w:val="20"/>
              </w:rPr>
            </w:pPr>
          </w:p>
        </w:tc>
      </w:tr>
      <w:tr w:rsidR="002541AD" w14:paraId="3750F21E" w14:textId="77777777">
        <w:tc>
          <w:tcPr>
            <w:tcW w:w="580" w:type="dxa"/>
            <w:shd w:val="clear" w:color="auto" w:fill="auto"/>
            <w:vAlign w:val="center"/>
          </w:tcPr>
          <w:p w14:paraId="3750F21A" w14:textId="77777777" w:rsidR="002541AD" w:rsidRDefault="002541AD">
            <w:pPr>
              <w:rPr>
                <w:rFonts w:ascii="Times New Roman" w:hAnsi="Times New Roman"/>
                <w:sz w:val="20"/>
                <w:szCs w:val="20"/>
              </w:rPr>
            </w:pPr>
          </w:p>
        </w:tc>
        <w:tc>
          <w:tcPr>
            <w:tcW w:w="5800" w:type="dxa"/>
            <w:shd w:val="clear" w:color="auto" w:fill="auto"/>
            <w:vAlign w:val="center"/>
          </w:tcPr>
          <w:p w14:paraId="3750F21B" w14:textId="77777777" w:rsidR="002541AD" w:rsidRDefault="002541AD">
            <w:pPr>
              <w:rPr>
                <w:rFonts w:ascii="Times New Roman" w:hAnsi="Times New Roman"/>
                <w:sz w:val="20"/>
                <w:szCs w:val="20"/>
              </w:rPr>
            </w:pPr>
          </w:p>
        </w:tc>
        <w:tc>
          <w:tcPr>
            <w:tcW w:w="1200" w:type="dxa"/>
            <w:shd w:val="clear" w:color="auto" w:fill="auto"/>
            <w:vAlign w:val="center"/>
          </w:tcPr>
          <w:p w14:paraId="3750F21C" w14:textId="77777777" w:rsidR="002541AD" w:rsidRDefault="002541AD">
            <w:pPr>
              <w:rPr>
                <w:rFonts w:ascii="Times New Roman" w:hAnsi="Times New Roman"/>
                <w:sz w:val="20"/>
                <w:szCs w:val="20"/>
              </w:rPr>
            </w:pPr>
          </w:p>
        </w:tc>
        <w:tc>
          <w:tcPr>
            <w:tcW w:w="6680" w:type="dxa"/>
            <w:shd w:val="clear" w:color="auto" w:fill="auto"/>
            <w:vAlign w:val="center"/>
          </w:tcPr>
          <w:p w14:paraId="3750F21D" w14:textId="77777777" w:rsidR="002541AD" w:rsidRDefault="002541AD">
            <w:pPr>
              <w:rPr>
                <w:rFonts w:ascii="Times New Roman" w:hAnsi="Times New Roman"/>
                <w:sz w:val="20"/>
                <w:szCs w:val="20"/>
              </w:rPr>
            </w:pPr>
          </w:p>
        </w:tc>
      </w:tr>
      <w:tr w:rsidR="002541AD" w14:paraId="3750F223" w14:textId="77777777">
        <w:tc>
          <w:tcPr>
            <w:tcW w:w="0" w:type="auto"/>
            <w:shd w:val="clear" w:color="auto" w:fill="auto"/>
            <w:tcMar>
              <w:top w:w="40" w:type="dxa"/>
              <w:left w:w="40" w:type="dxa"/>
              <w:bottom w:w="40" w:type="dxa"/>
              <w:right w:w="40" w:type="dxa"/>
            </w:tcMar>
            <w:vAlign w:val="bottom"/>
          </w:tcPr>
          <w:p w14:paraId="3750F21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3750F220" w14:textId="77777777" w:rsidR="002541AD" w:rsidRDefault="00901AA6">
            <w:pPr>
              <w:jc w:val="center"/>
              <w:textAlignment w:val="bottom"/>
              <w:rPr>
                <w:rFonts w:ascii="Times New Roman" w:hAnsi="Times New Roman"/>
                <w:sz w:val="20"/>
                <w:szCs w:val="20"/>
              </w:rPr>
            </w:pPr>
            <w:r>
              <w:rPr>
                <w:rFonts w:ascii="Arial" w:eastAsia="宋体" w:hAnsi="Arial" w:cs="Arial"/>
                <w:b/>
                <w:bCs/>
                <w:color w:val="0071C5"/>
                <w:sz w:val="20"/>
                <w:szCs w:val="20"/>
              </w:rPr>
              <w:t>RESEARCH AND DEVELOPMENT $B</w:t>
            </w:r>
          </w:p>
        </w:tc>
        <w:tc>
          <w:tcPr>
            <w:tcW w:w="0" w:type="auto"/>
            <w:shd w:val="clear" w:color="auto" w:fill="auto"/>
            <w:tcMar>
              <w:top w:w="40" w:type="dxa"/>
              <w:left w:w="40" w:type="dxa"/>
              <w:bottom w:w="40" w:type="dxa"/>
              <w:right w:w="40" w:type="dxa"/>
            </w:tcMar>
            <w:vAlign w:val="bottom"/>
          </w:tcPr>
          <w:p w14:paraId="3750F22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3750F222" w14:textId="77777777" w:rsidR="002541AD" w:rsidRDefault="00901AA6">
            <w:pPr>
              <w:jc w:val="center"/>
              <w:textAlignment w:val="bottom"/>
              <w:rPr>
                <w:rFonts w:ascii="Times New Roman" w:hAnsi="Times New Roman"/>
                <w:sz w:val="20"/>
                <w:szCs w:val="20"/>
              </w:rPr>
            </w:pPr>
            <w:r>
              <w:rPr>
                <w:rFonts w:ascii="Arial" w:eastAsia="宋体" w:hAnsi="Arial" w:cs="Arial"/>
                <w:b/>
                <w:bCs/>
                <w:color w:val="0071C5"/>
                <w:sz w:val="20"/>
                <w:szCs w:val="20"/>
              </w:rPr>
              <w:t>MARKETING, GENERAL AND ADMINISTRATIVE $B</w:t>
            </w:r>
          </w:p>
        </w:tc>
      </w:tr>
    </w:tbl>
    <w:p w14:paraId="3750F224"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(Percentages indicate expenses as a percentage of </w:t>
      </w:r>
      <w:r>
        <w:rPr>
          <w:rFonts w:ascii="Arial" w:eastAsia="宋体" w:hAnsi="Arial" w:cs="Arial"/>
          <w:color w:val="333333"/>
          <w:sz w:val="18"/>
          <w:szCs w:val="18"/>
        </w:rPr>
        <w:t>total revenue)</w:t>
      </w:r>
    </w:p>
    <w:p w14:paraId="3750F225" w14:textId="77777777" w:rsidR="002541AD" w:rsidRDefault="00901AA6">
      <w:pPr>
        <w:spacing w:line="288" w:lineRule="auto"/>
        <w:ind w:firstLine="240"/>
        <w:rPr>
          <w:rFonts w:ascii="Times New Roman" w:hAnsi="Times New Roman"/>
          <w:sz w:val="18"/>
          <w:szCs w:val="18"/>
        </w:rPr>
      </w:pP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 xml:space="preserve">/INTEL/./Inline XBRL Viewer11_files/opex_rnd.jpg"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3750F8BC" wp14:editId="3750F8BD">
            <wp:extent cx="304800" cy="304800"/>
            <wp:effectExtent l="0" t="0" r="0" b="0"/>
            <wp:docPr id="22" name="图片 119"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9" descr="IMG_30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r>
        <w:rPr>
          <w:rFonts w:ascii="Arial" w:eastAsia="宋体" w:hAnsi="Arial" w:cs="Arial"/>
          <w:color w:val="333333"/>
          <w:sz w:val="18"/>
          <w:szCs w:val="18"/>
        </w:rPr>
        <w:t>    </w:t>
      </w:r>
      <w:r>
        <w:rPr>
          <w:rFonts w:ascii="Times New Roman" w:eastAsia="宋体" w:hAnsi="Times New Roman"/>
          <w:sz w:val="18"/>
          <w:szCs w:val="18"/>
        </w:rPr>
        <w:fldChar w:fldCharType="begin"/>
      </w:r>
      <w:r>
        <w:rPr>
          <w:rFonts w:ascii="Times New Roman" w:eastAsia="宋体" w:hAnsi="Times New Roman"/>
          <w:sz w:val="18"/>
          <w:szCs w:val="18"/>
        </w:rPr>
        <w:instrText xml:space="preserve">INCLUDEPICTURE \d "/Users/xuxinrun/Document/04 msra/20230209 </w:instrText>
      </w:r>
      <w:r>
        <w:rPr>
          <w:rFonts w:ascii="Times New Roman" w:eastAsia="宋体" w:hAnsi="Times New Roman"/>
          <w:sz w:val="18"/>
          <w:szCs w:val="18"/>
        </w:rPr>
        <w:instrText>公司财报</w:instrText>
      </w:r>
      <w:r>
        <w:rPr>
          <w:rFonts w:ascii="Times New Roman" w:eastAsia="宋体" w:hAnsi="Times New Roman"/>
          <w:sz w:val="18"/>
          <w:szCs w:val="18"/>
        </w:rPr>
        <w:instrText>/INTEL/./Inline XBRL Viewer11_file</w:instrText>
      </w:r>
      <w:r>
        <w:rPr>
          <w:rFonts w:ascii="Times New Roman" w:eastAsia="宋体" w:hAnsi="Times New Roman"/>
          <w:sz w:val="18"/>
          <w:szCs w:val="18"/>
        </w:rPr>
        <w:instrText xml:space="preserve">s/opex_mga.jpg" \* MERGEFORMATINET </w:instrText>
      </w:r>
      <w:r>
        <w:rPr>
          <w:rFonts w:ascii="Times New Roman" w:eastAsia="宋体" w:hAnsi="Times New Roman"/>
          <w:sz w:val="18"/>
          <w:szCs w:val="18"/>
        </w:rPr>
        <w:fldChar w:fldCharType="separate"/>
      </w:r>
      <w:r>
        <w:rPr>
          <w:rFonts w:ascii="Times New Roman" w:eastAsia="宋体" w:hAnsi="Times New Roman"/>
          <w:noProof/>
          <w:sz w:val="18"/>
          <w:szCs w:val="18"/>
        </w:rPr>
        <w:drawing>
          <wp:inline distT="0" distB="0" distL="114300" distR="114300" wp14:anchorId="3750F8BE" wp14:editId="3750F8BF">
            <wp:extent cx="304800" cy="304800"/>
            <wp:effectExtent l="0" t="0" r="0" b="0"/>
            <wp:docPr id="23" name="图片 120"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0" descr="IMG_30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8"/>
          <w:szCs w:val="18"/>
        </w:rPr>
        <w:fldChar w:fldCharType="end"/>
      </w:r>
    </w:p>
    <w:tbl>
      <w:tblPr>
        <w:tblW w:w="5000" w:type="pct"/>
        <w:tblCellMar>
          <w:left w:w="0" w:type="dxa"/>
          <w:right w:w="0" w:type="dxa"/>
        </w:tblCellMar>
        <w:tblLook w:val="04A0" w:firstRow="1" w:lastRow="0" w:firstColumn="1" w:lastColumn="0" w:noHBand="0" w:noVBand="1"/>
      </w:tblPr>
      <w:tblGrid>
        <w:gridCol w:w="8306"/>
      </w:tblGrid>
      <w:tr w:rsidR="002541AD" w14:paraId="3750F227" w14:textId="77777777">
        <w:tc>
          <w:tcPr>
            <w:tcW w:w="0" w:type="auto"/>
            <w:shd w:val="clear" w:color="auto" w:fill="auto"/>
            <w:vAlign w:val="center"/>
          </w:tcPr>
          <w:p w14:paraId="3750F226" w14:textId="77777777" w:rsidR="002541AD" w:rsidRDefault="002541AD">
            <w:pPr>
              <w:rPr>
                <w:rFonts w:ascii="Times New Roman" w:hAnsi="Times New Roman"/>
                <w:sz w:val="20"/>
                <w:szCs w:val="20"/>
              </w:rPr>
            </w:pPr>
          </w:p>
        </w:tc>
      </w:tr>
      <w:tr w:rsidR="002541AD" w14:paraId="3750F229" w14:textId="77777777">
        <w:tc>
          <w:tcPr>
            <w:tcW w:w="5000" w:type="pct"/>
            <w:shd w:val="clear" w:color="auto" w:fill="auto"/>
            <w:vAlign w:val="center"/>
          </w:tcPr>
          <w:p w14:paraId="3750F228" w14:textId="77777777" w:rsidR="002541AD" w:rsidRDefault="002541AD">
            <w:pPr>
              <w:rPr>
                <w:rFonts w:ascii="Times New Roman" w:hAnsi="Times New Roman"/>
                <w:sz w:val="20"/>
                <w:szCs w:val="20"/>
              </w:rPr>
            </w:pPr>
          </w:p>
        </w:tc>
      </w:tr>
      <w:tr w:rsidR="002541AD" w14:paraId="3750F22B"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3750F22A" w14:textId="77777777" w:rsidR="002541AD" w:rsidRDefault="00901AA6">
            <w:pPr>
              <w:textAlignment w:val="bottom"/>
              <w:rPr>
                <w:rFonts w:ascii="Times New Roman" w:hAnsi="Times New Roman"/>
                <w:sz w:val="20"/>
                <w:szCs w:val="20"/>
              </w:rPr>
            </w:pPr>
            <w:r>
              <w:rPr>
                <w:rFonts w:ascii="Arial" w:eastAsia="宋体" w:hAnsi="Arial" w:cs="Arial"/>
                <w:b/>
                <w:bCs/>
                <w:color w:val="0071C5"/>
                <w:sz w:val="20"/>
                <w:szCs w:val="20"/>
              </w:rPr>
              <w:t>RESEARCH AND DEVELOPMENT</w:t>
            </w:r>
          </w:p>
        </w:tc>
      </w:tr>
    </w:tbl>
    <w:p w14:paraId="3750F22C" w14:textId="77777777" w:rsidR="002541AD" w:rsidRDefault="00901AA6">
      <w:pPr>
        <w:spacing w:line="288" w:lineRule="auto"/>
        <w:rPr>
          <w:rFonts w:ascii="Times New Roman" w:hAnsi="Times New Roman"/>
          <w:sz w:val="20"/>
          <w:szCs w:val="20"/>
        </w:rPr>
      </w:pPr>
      <w:r>
        <w:rPr>
          <w:rFonts w:ascii="Arial" w:eastAsia="宋体" w:hAnsi="Arial" w:cs="Arial"/>
          <w:b/>
          <w:bCs/>
          <w:color w:val="333333"/>
          <w:sz w:val="20"/>
          <w:szCs w:val="20"/>
        </w:rPr>
        <w:t>Q1 2020 vs. Q1 2019</w:t>
      </w:r>
      <w:r>
        <w:rPr>
          <w:rFonts w:ascii="Arial" w:eastAsia="宋体" w:hAnsi="Arial" w:cs="Arial"/>
          <w:color w:val="333333"/>
          <w:sz w:val="18"/>
          <w:szCs w:val="18"/>
        </w:rPr>
        <w:t xml:space="preserve"> </w:t>
      </w:r>
    </w:p>
    <w:tbl>
      <w:tblPr>
        <w:tblW w:w="2550" w:type="pct"/>
        <w:tblCellMar>
          <w:left w:w="0" w:type="dxa"/>
          <w:right w:w="0" w:type="dxa"/>
        </w:tblCellMar>
        <w:tblLook w:val="04A0" w:firstRow="1" w:lastRow="0" w:firstColumn="1" w:lastColumn="0" w:noHBand="0" w:noVBand="1"/>
      </w:tblPr>
      <w:tblGrid>
        <w:gridCol w:w="186"/>
        <w:gridCol w:w="4050"/>
      </w:tblGrid>
      <w:tr w:rsidR="002541AD" w14:paraId="3750F22E" w14:textId="77777777">
        <w:tc>
          <w:tcPr>
            <w:tcW w:w="0" w:type="auto"/>
            <w:gridSpan w:val="2"/>
            <w:shd w:val="clear" w:color="auto" w:fill="auto"/>
            <w:vAlign w:val="center"/>
          </w:tcPr>
          <w:p w14:paraId="3750F22D" w14:textId="77777777" w:rsidR="002541AD" w:rsidRDefault="002541AD">
            <w:pPr>
              <w:rPr>
                <w:rFonts w:ascii="Times New Roman" w:hAnsi="Times New Roman"/>
                <w:sz w:val="20"/>
                <w:szCs w:val="20"/>
              </w:rPr>
            </w:pPr>
          </w:p>
        </w:tc>
      </w:tr>
      <w:tr w:rsidR="002541AD" w14:paraId="3750F231" w14:textId="77777777">
        <w:tc>
          <w:tcPr>
            <w:tcW w:w="200" w:type="pct"/>
            <w:shd w:val="clear" w:color="auto" w:fill="auto"/>
            <w:vAlign w:val="center"/>
          </w:tcPr>
          <w:p w14:paraId="3750F22F" w14:textId="77777777" w:rsidR="002541AD" w:rsidRDefault="002541AD">
            <w:pPr>
              <w:rPr>
                <w:rFonts w:ascii="Times New Roman" w:hAnsi="Times New Roman"/>
                <w:sz w:val="20"/>
                <w:szCs w:val="20"/>
              </w:rPr>
            </w:pPr>
          </w:p>
        </w:tc>
        <w:tc>
          <w:tcPr>
            <w:tcW w:w="4800" w:type="pct"/>
            <w:shd w:val="clear" w:color="auto" w:fill="auto"/>
            <w:vAlign w:val="center"/>
          </w:tcPr>
          <w:p w14:paraId="3750F230" w14:textId="77777777" w:rsidR="002541AD" w:rsidRDefault="002541AD">
            <w:pPr>
              <w:rPr>
                <w:rFonts w:ascii="Times New Roman" w:hAnsi="Times New Roman"/>
                <w:sz w:val="20"/>
                <w:szCs w:val="20"/>
              </w:rPr>
            </w:pPr>
          </w:p>
        </w:tc>
      </w:tr>
      <w:tr w:rsidR="002541AD" w14:paraId="3750F233" w14:textId="77777777">
        <w:tc>
          <w:tcPr>
            <w:tcW w:w="0" w:type="auto"/>
            <w:gridSpan w:val="2"/>
            <w:shd w:val="clear" w:color="auto" w:fill="auto"/>
            <w:tcMar>
              <w:top w:w="40" w:type="dxa"/>
              <w:left w:w="40" w:type="dxa"/>
              <w:bottom w:w="40" w:type="dxa"/>
              <w:right w:w="40" w:type="dxa"/>
            </w:tcMar>
            <w:vAlign w:val="bottom"/>
          </w:tcPr>
          <w:p w14:paraId="3750F232"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R&amp;D decreased by $57 million, or 1.7%, driven by the following:</w:t>
            </w:r>
          </w:p>
        </w:tc>
      </w:tr>
      <w:tr w:rsidR="002541AD" w14:paraId="3750F236" w14:textId="77777777">
        <w:tc>
          <w:tcPr>
            <w:tcW w:w="0" w:type="auto"/>
            <w:shd w:val="clear" w:color="auto" w:fill="auto"/>
            <w:tcMar>
              <w:top w:w="40" w:type="dxa"/>
              <w:left w:w="40" w:type="dxa"/>
              <w:bottom w:w="40" w:type="dxa"/>
              <w:right w:w="40" w:type="dxa"/>
            </w:tcMar>
            <w:vAlign w:val="bottom"/>
          </w:tcPr>
          <w:p w14:paraId="3750F23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23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239" w14:textId="77777777">
        <w:tc>
          <w:tcPr>
            <w:tcW w:w="0" w:type="auto"/>
            <w:shd w:val="clear" w:color="auto" w:fill="auto"/>
            <w:tcMar>
              <w:top w:w="40" w:type="dxa"/>
              <w:left w:w="40" w:type="dxa"/>
              <w:bottom w:w="40" w:type="dxa"/>
              <w:right w:w="40" w:type="dxa"/>
            </w:tcMar>
            <w:vAlign w:val="bottom"/>
          </w:tcPr>
          <w:p w14:paraId="3750F237" w14:textId="77777777" w:rsidR="002541AD" w:rsidRDefault="00901AA6">
            <w:pPr>
              <w:jc w:val="center"/>
              <w:textAlignment w:val="bottom"/>
              <w:rPr>
                <w:rFonts w:ascii="Times New Roman" w:hAnsi="Times New Roman"/>
                <w:sz w:val="18"/>
                <w:szCs w:val="18"/>
              </w:rPr>
            </w:pPr>
            <w:r>
              <w:rPr>
                <w:rFonts w:ascii="Arial" w:eastAsia="宋体" w:hAnsi="Arial" w:cs="Arial"/>
                <w:b/>
                <w:bCs/>
                <w:color w:val="FAAC16"/>
                <w:sz w:val="18"/>
                <w:szCs w:val="18"/>
              </w:rPr>
              <w:t>-</w:t>
            </w:r>
          </w:p>
        </w:tc>
        <w:tc>
          <w:tcPr>
            <w:tcW w:w="0" w:type="auto"/>
            <w:shd w:val="clear" w:color="auto" w:fill="auto"/>
            <w:tcMar>
              <w:top w:w="40" w:type="dxa"/>
              <w:left w:w="40" w:type="dxa"/>
              <w:bottom w:w="40" w:type="dxa"/>
              <w:right w:w="40" w:type="dxa"/>
            </w:tcMar>
            <w:vAlign w:val="bottom"/>
          </w:tcPr>
          <w:p w14:paraId="3750F238"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Ramp down of 5G smartphone modem business</w:t>
            </w:r>
          </w:p>
        </w:tc>
      </w:tr>
      <w:tr w:rsidR="002541AD" w14:paraId="3750F23C" w14:textId="77777777">
        <w:tc>
          <w:tcPr>
            <w:tcW w:w="0" w:type="auto"/>
            <w:shd w:val="clear" w:color="auto" w:fill="auto"/>
            <w:tcMar>
              <w:top w:w="40" w:type="dxa"/>
              <w:left w:w="40" w:type="dxa"/>
              <w:bottom w:w="40" w:type="dxa"/>
              <w:right w:w="40" w:type="dxa"/>
            </w:tcMar>
            <w:vAlign w:val="bottom"/>
          </w:tcPr>
          <w:p w14:paraId="3750F23A" w14:textId="77777777" w:rsidR="002541AD" w:rsidRDefault="00901AA6">
            <w:pPr>
              <w:jc w:val="center"/>
              <w:textAlignment w:val="bottom"/>
              <w:rPr>
                <w:rFonts w:ascii="Times New Roman" w:hAnsi="Times New Roman"/>
                <w:sz w:val="18"/>
                <w:szCs w:val="18"/>
              </w:rPr>
            </w:pPr>
            <w:r>
              <w:rPr>
                <w:rFonts w:ascii="Arial" w:eastAsia="宋体" w:hAnsi="Arial" w:cs="Arial"/>
                <w:b/>
                <w:bCs/>
                <w:color w:val="00AEEF"/>
                <w:sz w:val="18"/>
                <w:szCs w:val="18"/>
              </w:rPr>
              <w:t>+</w:t>
            </w:r>
          </w:p>
        </w:tc>
        <w:tc>
          <w:tcPr>
            <w:tcW w:w="0" w:type="auto"/>
            <w:shd w:val="clear" w:color="auto" w:fill="auto"/>
            <w:tcMar>
              <w:top w:w="40" w:type="dxa"/>
              <w:left w:w="40" w:type="dxa"/>
              <w:bottom w:w="40" w:type="dxa"/>
              <w:right w:w="40" w:type="dxa"/>
            </w:tcMar>
            <w:vAlign w:val="bottom"/>
          </w:tcPr>
          <w:p w14:paraId="3750F23B"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xml:space="preserve">Investments in our PC and </w:t>
            </w:r>
            <w:r>
              <w:rPr>
                <w:rFonts w:ascii="Arial" w:eastAsia="宋体" w:hAnsi="Arial" w:cs="Arial"/>
                <w:color w:val="333333"/>
                <w:sz w:val="18"/>
                <w:szCs w:val="18"/>
              </w:rPr>
              <w:t>data-centric businesses</w:t>
            </w:r>
          </w:p>
        </w:tc>
      </w:tr>
      <w:tr w:rsidR="002541AD" w14:paraId="3750F23F" w14:textId="77777777">
        <w:tc>
          <w:tcPr>
            <w:tcW w:w="0" w:type="auto"/>
            <w:shd w:val="clear" w:color="auto" w:fill="auto"/>
            <w:tcMar>
              <w:top w:w="40" w:type="dxa"/>
              <w:left w:w="40" w:type="dxa"/>
              <w:bottom w:w="40" w:type="dxa"/>
              <w:right w:w="40" w:type="dxa"/>
            </w:tcMar>
            <w:vAlign w:val="bottom"/>
          </w:tcPr>
          <w:p w14:paraId="3750F23D" w14:textId="77777777" w:rsidR="002541AD" w:rsidRDefault="00901AA6">
            <w:pPr>
              <w:jc w:val="center"/>
              <w:textAlignment w:val="bottom"/>
              <w:rPr>
                <w:rFonts w:ascii="Times New Roman" w:hAnsi="Times New Roman"/>
                <w:sz w:val="18"/>
                <w:szCs w:val="18"/>
              </w:rPr>
            </w:pPr>
            <w:r>
              <w:rPr>
                <w:rFonts w:ascii="Arial" w:eastAsia="宋体" w:hAnsi="Arial" w:cs="Arial"/>
                <w:b/>
                <w:bCs/>
                <w:color w:val="00AEEF"/>
                <w:sz w:val="18"/>
                <w:szCs w:val="18"/>
              </w:rPr>
              <w:t>+</w:t>
            </w:r>
          </w:p>
        </w:tc>
        <w:tc>
          <w:tcPr>
            <w:tcW w:w="0" w:type="auto"/>
            <w:shd w:val="clear" w:color="auto" w:fill="auto"/>
            <w:tcMar>
              <w:top w:w="40" w:type="dxa"/>
              <w:left w:w="40" w:type="dxa"/>
              <w:bottom w:w="40" w:type="dxa"/>
              <w:right w:w="40" w:type="dxa"/>
            </w:tcMar>
            <w:vAlign w:val="bottom"/>
          </w:tcPr>
          <w:p w14:paraId="3750F23E"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Investments in process technology</w:t>
            </w:r>
          </w:p>
        </w:tc>
      </w:tr>
      <w:tr w:rsidR="002541AD" w14:paraId="3750F242" w14:textId="77777777">
        <w:tc>
          <w:tcPr>
            <w:tcW w:w="0" w:type="auto"/>
            <w:shd w:val="clear" w:color="auto" w:fill="auto"/>
            <w:tcMar>
              <w:top w:w="40" w:type="dxa"/>
              <w:left w:w="40" w:type="dxa"/>
              <w:bottom w:w="40" w:type="dxa"/>
              <w:right w:w="40" w:type="dxa"/>
            </w:tcMar>
            <w:vAlign w:val="bottom"/>
          </w:tcPr>
          <w:p w14:paraId="3750F240" w14:textId="77777777" w:rsidR="002541AD" w:rsidRDefault="00901AA6">
            <w:pPr>
              <w:jc w:val="center"/>
              <w:textAlignment w:val="bottom"/>
              <w:rPr>
                <w:rFonts w:ascii="Times New Roman" w:hAnsi="Times New Roman"/>
                <w:sz w:val="18"/>
                <w:szCs w:val="18"/>
              </w:rPr>
            </w:pPr>
            <w:r>
              <w:rPr>
                <w:rFonts w:ascii="Arial" w:eastAsia="宋体" w:hAnsi="Arial" w:cs="Arial"/>
                <w:b/>
                <w:bCs/>
                <w:color w:val="00AEEF"/>
                <w:sz w:val="18"/>
                <w:szCs w:val="18"/>
              </w:rPr>
              <w:t>+</w:t>
            </w:r>
          </w:p>
        </w:tc>
        <w:tc>
          <w:tcPr>
            <w:tcW w:w="0" w:type="auto"/>
            <w:shd w:val="clear" w:color="auto" w:fill="auto"/>
            <w:tcMar>
              <w:top w:w="40" w:type="dxa"/>
              <w:left w:w="40" w:type="dxa"/>
              <w:bottom w:w="40" w:type="dxa"/>
              <w:right w:w="40" w:type="dxa"/>
            </w:tcMar>
            <w:vAlign w:val="bottom"/>
          </w:tcPr>
          <w:p w14:paraId="3750F241"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Profit dependent compensation</w:t>
            </w:r>
          </w:p>
        </w:tc>
      </w:tr>
    </w:tbl>
    <w:p w14:paraId="3750F243" w14:textId="77777777" w:rsidR="002541AD" w:rsidRDefault="002541AD">
      <w:pPr>
        <w:rPr>
          <w:vanish/>
        </w:rPr>
      </w:pPr>
    </w:p>
    <w:tbl>
      <w:tblPr>
        <w:tblW w:w="5000" w:type="pct"/>
        <w:tblCellMar>
          <w:left w:w="0" w:type="dxa"/>
          <w:right w:w="0" w:type="dxa"/>
        </w:tblCellMar>
        <w:tblLook w:val="04A0" w:firstRow="1" w:lastRow="0" w:firstColumn="1" w:lastColumn="0" w:noHBand="0" w:noVBand="1"/>
      </w:tblPr>
      <w:tblGrid>
        <w:gridCol w:w="8306"/>
      </w:tblGrid>
      <w:tr w:rsidR="002541AD" w14:paraId="3750F245" w14:textId="77777777">
        <w:tc>
          <w:tcPr>
            <w:tcW w:w="0" w:type="auto"/>
            <w:shd w:val="clear" w:color="auto" w:fill="auto"/>
            <w:vAlign w:val="center"/>
          </w:tcPr>
          <w:p w14:paraId="3750F244" w14:textId="77777777" w:rsidR="002541AD" w:rsidRDefault="002541AD">
            <w:pPr>
              <w:rPr>
                <w:rFonts w:ascii="Times New Roman" w:hAnsi="Times New Roman"/>
                <w:sz w:val="20"/>
                <w:szCs w:val="20"/>
              </w:rPr>
            </w:pPr>
          </w:p>
        </w:tc>
      </w:tr>
      <w:tr w:rsidR="002541AD" w14:paraId="3750F247" w14:textId="77777777">
        <w:tc>
          <w:tcPr>
            <w:tcW w:w="5000" w:type="pct"/>
            <w:shd w:val="clear" w:color="auto" w:fill="auto"/>
            <w:vAlign w:val="center"/>
          </w:tcPr>
          <w:p w14:paraId="3750F246" w14:textId="77777777" w:rsidR="002541AD" w:rsidRDefault="002541AD">
            <w:pPr>
              <w:rPr>
                <w:rFonts w:ascii="Times New Roman" w:hAnsi="Times New Roman"/>
                <w:sz w:val="20"/>
                <w:szCs w:val="20"/>
              </w:rPr>
            </w:pPr>
          </w:p>
        </w:tc>
      </w:tr>
      <w:tr w:rsidR="002541AD" w14:paraId="3750F249" w14:textId="77777777">
        <w:tc>
          <w:tcPr>
            <w:tcW w:w="0" w:type="auto"/>
            <w:tcBorders>
              <w:bottom w:val="single" w:sz="8" w:space="0" w:color="333333"/>
            </w:tcBorders>
            <w:shd w:val="clear" w:color="auto" w:fill="auto"/>
            <w:tcMar>
              <w:top w:w="40" w:type="dxa"/>
              <w:left w:w="40" w:type="dxa"/>
              <w:bottom w:w="40" w:type="dxa"/>
              <w:right w:w="40" w:type="dxa"/>
            </w:tcMar>
            <w:vAlign w:val="bottom"/>
          </w:tcPr>
          <w:p w14:paraId="3750F248" w14:textId="77777777" w:rsidR="002541AD" w:rsidRDefault="00901AA6">
            <w:pPr>
              <w:textAlignment w:val="bottom"/>
              <w:rPr>
                <w:rFonts w:ascii="Times New Roman" w:hAnsi="Times New Roman"/>
                <w:sz w:val="20"/>
                <w:szCs w:val="20"/>
              </w:rPr>
            </w:pPr>
            <w:r>
              <w:rPr>
                <w:rFonts w:ascii="Arial" w:eastAsia="宋体" w:hAnsi="Arial" w:cs="Arial"/>
                <w:b/>
                <w:bCs/>
                <w:color w:val="0071C5"/>
                <w:sz w:val="20"/>
                <w:szCs w:val="20"/>
              </w:rPr>
              <w:t>MARKETING, GENERAL AND ADMINISTRATIVE</w:t>
            </w:r>
          </w:p>
        </w:tc>
      </w:tr>
    </w:tbl>
    <w:p w14:paraId="3750F24A" w14:textId="77777777" w:rsidR="002541AD" w:rsidRDefault="00901AA6">
      <w:pPr>
        <w:spacing w:line="288" w:lineRule="auto"/>
        <w:rPr>
          <w:rFonts w:ascii="Times New Roman" w:hAnsi="Times New Roman"/>
          <w:sz w:val="20"/>
          <w:szCs w:val="20"/>
        </w:rPr>
      </w:pPr>
      <w:r>
        <w:rPr>
          <w:rFonts w:ascii="Arial" w:eastAsia="宋体" w:hAnsi="Arial" w:cs="Arial"/>
          <w:b/>
          <w:bCs/>
          <w:color w:val="333333"/>
          <w:sz w:val="20"/>
          <w:szCs w:val="20"/>
        </w:rPr>
        <w:t>Q1 2020 vs. Q1 2019</w:t>
      </w:r>
      <w:r>
        <w:rPr>
          <w:rFonts w:ascii="Arial" w:eastAsia="宋体" w:hAnsi="Arial" w:cs="Arial"/>
          <w:color w:val="333333"/>
          <w:sz w:val="18"/>
          <w:szCs w:val="18"/>
        </w:rPr>
        <w:t xml:space="preserve"> </w:t>
      </w:r>
    </w:p>
    <w:tbl>
      <w:tblPr>
        <w:tblW w:w="2550" w:type="pct"/>
        <w:tblCellMar>
          <w:left w:w="0" w:type="dxa"/>
          <w:right w:w="0" w:type="dxa"/>
        </w:tblCellMar>
        <w:tblLook w:val="04A0" w:firstRow="1" w:lastRow="0" w:firstColumn="1" w:lastColumn="0" w:noHBand="0" w:noVBand="1"/>
      </w:tblPr>
      <w:tblGrid>
        <w:gridCol w:w="186"/>
        <w:gridCol w:w="4050"/>
      </w:tblGrid>
      <w:tr w:rsidR="002541AD" w14:paraId="3750F24C" w14:textId="77777777">
        <w:tc>
          <w:tcPr>
            <w:tcW w:w="0" w:type="auto"/>
            <w:gridSpan w:val="2"/>
            <w:shd w:val="clear" w:color="auto" w:fill="auto"/>
            <w:vAlign w:val="center"/>
          </w:tcPr>
          <w:p w14:paraId="3750F24B" w14:textId="77777777" w:rsidR="002541AD" w:rsidRDefault="002541AD">
            <w:pPr>
              <w:rPr>
                <w:rFonts w:ascii="Times New Roman" w:hAnsi="Times New Roman"/>
                <w:sz w:val="20"/>
                <w:szCs w:val="20"/>
              </w:rPr>
            </w:pPr>
          </w:p>
        </w:tc>
      </w:tr>
      <w:tr w:rsidR="002541AD" w14:paraId="3750F24F" w14:textId="77777777">
        <w:tc>
          <w:tcPr>
            <w:tcW w:w="200" w:type="pct"/>
            <w:shd w:val="clear" w:color="auto" w:fill="auto"/>
            <w:vAlign w:val="center"/>
          </w:tcPr>
          <w:p w14:paraId="3750F24D" w14:textId="77777777" w:rsidR="002541AD" w:rsidRDefault="002541AD">
            <w:pPr>
              <w:rPr>
                <w:rFonts w:ascii="Times New Roman" w:hAnsi="Times New Roman"/>
                <w:sz w:val="20"/>
                <w:szCs w:val="20"/>
              </w:rPr>
            </w:pPr>
          </w:p>
        </w:tc>
        <w:tc>
          <w:tcPr>
            <w:tcW w:w="4800" w:type="pct"/>
            <w:shd w:val="clear" w:color="auto" w:fill="auto"/>
            <w:vAlign w:val="center"/>
          </w:tcPr>
          <w:p w14:paraId="3750F24E" w14:textId="77777777" w:rsidR="002541AD" w:rsidRDefault="002541AD">
            <w:pPr>
              <w:rPr>
                <w:rFonts w:ascii="Times New Roman" w:hAnsi="Times New Roman"/>
                <w:sz w:val="20"/>
                <w:szCs w:val="20"/>
              </w:rPr>
            </w:pPr>
          </w:p>
        </w:tc>
      </w:tr>
      <w:tr w:rsidR="002541AD" w14:paraId="3750F251" w14:textId="77777777">
        <w:tc>
          <w:tcPr>
            <w:tcW w:w="0" w:type="auto"/>
            <w:gridSpan w:val="2"/>
            <w:shd w:val="clear" w:color="auto" w:fill="auto"/>
            <w:tcMar>
              <w:top w:w="40" w:type="dxa"/>
              <w:left w:w="40" w:type="dxa"/>
              <w:bottom w:w="40" w:type="dxa"/>
              <w:right w:w="40" w:type="dxa"/>
            </w:tcMar>
            <w:vAlign w:val="bottom"/>
          </w:tcPr>
          <w:p w14:paraId="3750F250"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MG&amp;A decreased by $42 million, or 2.7%, driven by the following:</w:t>
            </w:r>
          </w:p>
        </w:tc>
      </w:tr>
      <w:tr w:rsidR="002541AD" w14:paraId="3750F254" w14:textId="77777777">
        <w:tc>
          <w:tcPr>
            <w:tcW w:w="0" w:type="auto"/>
            <w:shd w:val="clear" w:color="auto" w:fill="auto"/>
            <w:tcMar>
              <w:top w:w="40" w:type="dxa"/>
              <w:left w:w="40" w:type="dxa"/>
              <w:bottom w:w="40" w:type="dxa"/>
              <w:right w:w="40" w:type="dxa"/>
            </w:tcMar>
            <w:vAlign w:val="bottom"/>
          </w:tcPr>
          <w:p w14:paraId="3750F25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25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257" w14:textId="77777777">
        <w:tc>
          <w:tcPr>
            <w:tcW w:w="0" w:type="auto"/>
            <w:shd w:val="clear" w:color="auto" w:fill="auto"/>
            <w:tcMar>
              <w:top w:w="40" w:type="dxa"/>
              <w:left w:w="40" w:type="dxa"/>
              <w:bottom w:w="40" w:type="dxa"/>
              <w:right w:w="40" w:type="dxa"/>
            </w:tcMar>
            <w:vAlign w:val="bottom"/>
          </w:tcPr>
          <w:p w14:paraId="3750F255" w14:textId="77777777" w:rsidR="002541AD" w:rsidRDefault="00901AA6">
            <w:pPr>
              <w:jc w:val="center"/>
              <w:textAlignment w:val="bottom"/>
              <w:rPr>
                <w:rFonts w:ascii="Times New Roman" w:hAnsi="Times New Roman"/>
                <w:sz w:val="18"/>
                <w:szCs w:val="18"/>
              </w:rPr>
            </w:pPr>
            <w:r>
              <w:rPr>
                <w:rFonts w:ascii="Arial" w:eastAsia="宋体" w:hAnsi="Arial" w:cs="Arial"/>
                <w:b/>
                <w:bCs/>
                <w:color w:val="FAAC16"/>
                <w:sz w:val="18"/>
                <w:szCs w:val="18"/>
              </w:rPr>
              <w:t>-</w:t>
            </w:r>
          </w:p>
        </w:tc>
        <w:tc>
          <w:tcPr>
            <w:tcW w:w="0" w:type="auto"/>
            <w:shd w:val="clear" w:color="auto" w:fill="auto"/>
            <w:tcMar>
              <w:top w:w="40" w:type="dxa"/>
              <w:left w:w="40" w:type="dxa"/>
              <w:bottom w:w="40" w:type="dxa"/>
              <w:right w:w="40" w:type="dxa"/>
            </w:tcMar>
            <w:vAlign w:val="bottom"/>
          </w:tcPr>
          <w:p w14:paraId="3750F256"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xml:space="preserve">Corporate </w:t>
            </w:r>
            <w:r>
              <w:rPr>
                <w:rFonts w:ascii="Arial" w:eastAsia="宋体" w:hAnsi="Arial" w:cs="Arial"/>
                <w:color w:val="333333"/>
                <w:sz w:val="18"/>
                <w:szCs w:val="18"/>
              </w:rPr>
              <w:t>spending efficiencies</w:t>
            </w:r>
          </w:p>
        </w:tc>
      </w:tr>
      <w:tr w:rsidR="002541AD" w14:paraId="3750F25A" w14:textId="77777777">
        <w:tc>
          <w:tcPr>
            <w:tcW w:w="0" w:type="auto"/>
            <w:shd w:val="clear" w:color="auto" w:fill="auto"/>
            <w:tcMar>
              <w:top w:w="40" w:type="dxa"/>
              <w:left w:w="40" w:type="dxa"/>
              <w:bottom w:w="40" w:type="dxa"/>
              <w:right w:w="40" w:type="dxa"/>
            </w:tcMar>
            <w:vAlign w:val="bottom"/>
          </w:tcPr>
          <w:p w14:paraId="3750F258" w14:textId="77777777" w:rsidR="002541AD" w:rsidRDefault="00901AA6">
            <w:pPr>
              <w:jc w:val="center"/>
              <w:textAlignment w:val="bottom"/>
              <w:rPr>
                <w:rFonts w:ascii="Times New Roman" w:hAnsi="Times New Roman"/>
                <w:sz w:val="18"/>
                <w:szCs w:val="18"/>
              </w:rPr>
            </w:pPr>
            <w:r>
              <w:rPr>
                <w:rFonts w:ascii="Arial" w:eastAsia="宋体" w:hAnsi="Arial" w:cs="Arial"/>
                <w:b/>
                <w:bCs/>
                <w:color w:val="00AEEF"/>
                <w:sz w:val="18"/>
                <w:szCs w:val="18"/>
              </w:rPr>
              <w:t>+</w:t>
            </w:r>
          </w:p>
        </w:tc>
        <w:tc>
          <w:tcPr>
            <w:tcW w:w="0" w:type="auto"/>
            <w:shd w:val="clear" w:color="auto" w:fill="auto"/>
            <w:tcMar>
              <w:top w:w="40" w:type="dxa"/>
              <w:left w:w="40" w:type="dxa"/>
              <w:bottom w:w="40" w:type="dxa"/>
              <w:right w:w="40" w:type="dxa"/>
            </w:tcMar>
            <w:vAlign w:val="bottom"/>
          </w:tcPr>
          <w:p w14:paraId="3750F259"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Profit dependent compensation</w:t>
            </w:r>
          </w:p>
        </w:tc>
      </w:tr>
    </w:tbl>
    <w:p w14:paraId="3750F25B"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F25D" w14:textId="77777777">
        <w:tc>
          <w:tcPr>
            <w:tcW w:w="0" w:type="auto"/>
            <w:gridSpan w:val="3"/>
            <w:shd w:val="clear" w:color="auto" w:fill="auto"/>
            <w:vAlign w:val="center"/>
          </w:tcPr>
          <w:p w14:paraId="3750F25C" w14:textId="77777777" w:rsidR="002541AD" w:rsidRDefault="002541AD">
            <w:pPr>
              <w:rPr>
                <w:rFonts w:ascii="Times New Roman" w:hAnsi="Times New Roman"/>
                <w:sz w:val="20"/>
                <w:szCs w:val="20"/>
              </w:rPr>
            </w:pPr>
          </w:p>
        </w:tc>
      </w:tr>
      <w:tr w:rsidR="002541AD" w14:paraId="3750F261" w14:textId="77777777">
        <w:tc>
          <w:tcPr>
            <w:tcW w:w="1550" w:type="pct"/>
            <w:shd w:val="clear" w:color="auto" w:fill="auto"/>
            <w:vAlign w:val="center"/>
          </w:tcPr>
          <w:p w14:paraId="3750F25E" w14:textId="77777777" w:rsidR="002541AD" w:rsidRDefault="002541AD">
            <w:pPr>
              <w:rPr>
                <w:rFonts w:ascii="Times New Roman" w:hAnsi="Times New Roman"/>
                <w:sz w:val="20"/>
                <w:szCs w:val="20"/>
              </w:rPr>
            </w:pPr>
          </w:p>
        </w:tc>
        <w:tc>
          <w:tcPr>
            <w:tcW w:w="2200" w:type="pct"/>
            <w:shd w:val="clear" w:color="auto" w:fill="auto"/>
            <w:vAlign w:val="center"/>
          </w:tcPr>
          <w:p w14:paraId="3750F25F" w14:textId="77777777" w:rsidR="002541AD" w:rsidRDefault="002541AD">
            <w:pPr>
              <w:rPr>
                <w:rFonts w:ascii="Times New Roman" w:hAnsi="Times New Roman"/>
                <w:sz w:val="20"/>
                <w:szCs w:val="20"/>
              </w:rPr>
            </w:pPr>
          </w:p>
        </w:tc>
        <w:tc>
          <w:tcPr>
            <w:tcW w:w="1250" w:type="pct"/>
            <w:shd w:val="clear" w:color="auto" w:fill="auto"/>
            <w:vAlign w:val="center"/>
          </w:tcPr>
          <w:p w14:paraId="3750F260" w14:textId="77777777" w:rsidR="002541AD" w:rsidRDefault="002541AD">
            <w:pPr>
              <w:rPr>
                <w:rFonts w:ascii="Times New Roman" w:hAnsi="Times New Roman"/>
                <w:sz w:val="20"/>
                <w:szCs w:val="20"/>
              </w:rPr>
            </w:pPr>
          </w:p>
        </w:tc>
      </w:tr>
      <w:tr w:rsidR="002541AD" w14:paraId="3750F265"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F262"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C0" wp14:editId="3750F8C1">
                  <wp:extent cx="304800" cy="304800"/>
                  <wp:effectExtent l="0" t="0" r="0" b="0"/>
                  <wp:docPr id="12" name="图片 121"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1"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26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264"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34</w:t>
            </w:r>
          </w:p>
        </w:tc>
      </w:tr>
    </w:tbl>
    <w:p w14:paraId="3750F266" w14:textId="77777777" w:rsidR="002541AD" w:rsidRDefault="002541AD">
      <w:pPr>
        <w:spacing w:line="288" w:lineRule="auto"/>
        <w:rPr>
          <w:rFonts w:ascii="Times New Roman" w:hAnsi="Times New Roman"/>
          <w:sz w:val="18"/>
          <w:szCs w:val="18"/>
        </w:rPr>
      </w:pPr>
    </w:p>
    <w:p w14:paraId="3750F267" w14:textId="77777777" w:rsidR="002541AD" w:rsidRDefault="00901AA6">
      <w:r>
        <w:rPr>
          <w:rFonts w:ascii="Times New Roman" w:hAnsi="Times New Roman"/>
          <w:sz w:val="18"/>
          <w:szCs w:val="18"/>
        </w:rPr>
        <w:pict w14:anchorId="3750F8C2">
          <v:rect id="_x0000_i1060" style="width:415.3pt;height:1.5pt" o:hralign="center" o:hrstd="t" o:hr="t" fillcolor="#a0a0a0" stroked="f"/>
        </w:pict>
      </w:r>
    </w:p>
    <w:p w14:paraId="3750F268" w14:textId="77777777" w:rsidR="002541AD" w:rsidRDefault="00901AA6">
      <w:pPr>
        <w:spacing w:line="288" w:lineRule="auto"/>
        <w:jc w:val="right"/>
        <w:rPr>
          <w:rFonts w:ascii="Times New Roman" w:hAnsi="Times New Roman"/>
          <w:sz w:val="16"/>
          <w:szCs w:val="16"/>
        </w:rPr>
      </w:pPr>
      <w:hyperlink r:id="rId63" w:anchor="s2CABEAF4222C52B4A34547BF538A8C27" w:history="1">
        <w:r>
          <w:rPr>
            <w:rStyle w:val="a5"/>
            <w:rFonts w:ascii="Arial" w:eastAsia="宋体" w:hAnsi="Arial" w:cs="Arial"/>
            <w:b/>
            <w:bCs/>
            <w:sz w:val="16"/>
            <w:szCs w:val="16"/>
          </w:rPr>
          <w:t>Table of Contents</w:t>
        </w:r>
      </w:hyperlink>
    </w:p>
    <w:p w14:paraId="3750F269" w14:textId="77777777" w:rsidR="002541AD" w:rsidRDefault="002541AD">
      <w:pPr>
        <w:spacing w:line="288" w:lineRule="auto"/>
        <w:jc w:val="right"/>
        <w:rPr>
          <w:rFonts w:ascii="Times New Roman" w:hAnsi="Times New Roman"/>
          <w:sz w:val="18"/>
          <w:szCs w:val="18"/>
        </w:rPr>
      </w:pPr>
    </w:p>
    <w:p w14:paraId="3750F26A" w14:textId="77777777" w:rsidR="002541AD" w:rsidRDefault="002541AD">
      <w:pPr>
        <w:rPr>
          <w:rFonts w:ascii="Times New Roman" w:hAnsi="Times New Roman"/>
          <w:sz w:val="20"/>
          <w:szCs w:val="20"/>
        </w:rPr>
      </w:pPr>
    </w:p>
    <w:p w14:paraId="3750F26B"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GAINS (LOSSES) ON EQUITY INVESTMENTS AND INTEREST AND OTHER, NET</w:t>
      </w:r>
    </w:p>
    <w:tbl>
      <w:tblPr>
        <w:tblW w:w="5000" w:type="pct"/>
        <w:tblCellMar>
          <w:left w:w="0" w:type="dxa"/>
          <w:right w:w="0" w:type="dxa"/>
        </w:tblCellMar>
        <w:tblLook w:val="04A0" w:firstRow="1" w:lastRow="0" w:firstColumn="1" w:lastColumn="0" w:noHBand="0" w:noVBand="1"/>
      </w:tblPr>
      <w:tblGrid>
        <w:gridCol w:w="6064"/>
        <w:gridCol w:w="130"/>
        <w:gridCol w:w="141"/>
        <w:gridCol w:w="750"/>
        <w:gridCol w:w="100"/>
        <w:gridCol w:w="130"/>
        <w:gridCol w:w="141"/>
        <w:gridCol w:w="750"/>
        <w:gridCol w:w="100"/>
      </w:tblGrid>
      <w:tr w:rsidR="002541AD" w14:paraId="3750F26D" w14:textId="77777777">
        <w:tc>
          <w:tcPr>
            <w:tcW w:w="0" w:type="auto"/>
            <w:gridSpan w:val="9"/>
            <w:shd w:val="clear" w:color="auto" w:fill="auto"/>
            <w:vAlign w:val="center"/>
          </w:tcPr>
          <w:p w14:paraId="3750F26C" w14:textId="77777777" w:rsidR="002541AD" w:rsidRDefault="002541AD">
            <w:pPr>
              <w:rPr>
                <w:rFonts w:ascii="Times New Roman" w:hAnsi="Times New Roman"/>
                <w:sz w:val="20"/>
                <w:szCs w:val="20"/>
              </w:rPr>
            </w:pPr>
          </w:p>
        </w:tc>
      </w:tr>
      <w:tr w:rsidR="002541AD" w14:paraId="3750F277" w14:textId="77777777">
        <w:tc>
          <w:tcPr>
            <w:tcW w:w="3700" w:type="pct"/>
            <w:shd w:val="clear" w:color="auto" w:fill="auto"/>
            <w:vAlign w:val="center"/>
          </w:tcPr>
          <w:p w14:paraId="3750F26E" w14:textId="77777777" w:rsidR="002541AD" w:rsidRDefault="002541AD">
            <w:pPr>
              <w:rPr>
                <w:rFonts w:ascii="Times New Roman" w:hAnsi="Times New Roman"/>
                <w:sz w:val="20"/>
                <w:szCs w:val="20"/>
              </w:rPr>
            </w:pPr>
          </w:p>
        </w:tc>
        <w:tc>
          <w:tcPr>
            <w:tcW w:w="50" w:type="pct"/>
            <w:shd w:val="clear" w:color="auto" w:fill="auto"/>
            <w:vAlign w:val="center"/>
          </w:tcPr>
          <w:p w14:paraId="3750F26F" w14:textId="77777777" w:rsidR="002541AD" w:rsidRDefault="002541AD">
            <w:pPr>
              <w:rPr>
                <w:rFonts w:ascii="Times New Roman" w:hAnsi="Times New Roman"/>
                <w:sz w:val="20"/>
                <w:szCs w:val="20"/>
              </w:rPr>
            </w:pPr>
          </w:p>
        </w:tc>
        <w:tc>
          <w:tcPr>
            <w:tcW w:w="50" w:type="pct"/>
            <w:shd w:val="clear" w:color="auto" w:fill="auto"/>
            <w:vAlign w:val="center"/>
          </w:tcPr>
          <w:p w14:paraId="3750F270" w14:textId="77777777" w:rsidR="002541AD" w:rsidRDefault="002541AD">
            <w:pPr>
              <w:rPr>
                <w:rFonts w:ascii="Times New Roman" w:hAnsi="Times New Roman"/>
                <w:sz w:val="20"/>
                <w:szCs w:val="20"/>
              </w:rPr>
            </w:pPr>
          </w:p>
        </w:tc>
        <w:tc>
          <w:tcPr>
            <w:tcW w:w="500" w:type="pct"/>
            <w:shd w:val="clear" w:color="auto" w:fill="auto"/>
            <w:vAlign w:val="center"/>
          </w:tcPr>
          <w:p w14:paraId="3750F271" w14:textId="77777777" w:rsidR="002541AD" w:rsidRDefault="002541AD">
            <w:pPr>
              <w:rPr>
                <w:rFonts w:ascii="Times New Roman" w:hAnsi="Times New Roman"/>
                <w:sz w:val="20"/>
                <w:szCs w:val="20"/>
              </w:rPr>
            </w:pPr>
          </w:p>
        </w:tc>
        <w:tc>
          <w:tcPr>
            <w:tcW w:w="50" w:type="pct"/>
            <w:shd w:val="clear" w:color="auto" w:fill="auto"/>
            <w:vAlign w:val="center"/>
          </w:tcPr>
          <w:p w14:paraId="3750F272" w14:textId="77777777" w:rsidR="002541AD" w:rsidRDefault="002541AD">
            <w:pPr>
              <w:rPr>
                <w:rFonts w:ascii="Times New Roman" w:hAnsi="Times New Roman"/>
                <w:sz w:val="20"/>
                <w:szCs w:val="20"/>
              </w:rPr>
            </w:pPr>
          </w:p>
        </w:tc>
        <w:tc>
          <w:tcPr>
            <w:tcW w:w="50" w:type="pct"/>
            <w:shd w:val="clear" w:color="auto" w:fill="auto"/>
            <w:vAlign w:val="center"/>
          </w:tcPr>
          <w:p w14:paraId="3750F273" w14:textId="77777777" w:rsidR="002541AD" w:rsidRDefault="002541AD">
            <w:pPr>
              <w:rPr>
                <w:rFonts w:ascii="Times New Roman" w:hAnsi="Times New Roman"/>
                <w:sz w:val="20"/>
                <w:szCs w:val="20"/>
              </w:rPr>
            </w:pPr>
          </w:p>
        </w:tc>
        <w:tc>
          <w:tcPr>
            <w:tcW w:w="50" w:type="pct"/>
            <w:shd w:val="clear" w:color="auto" w:fill="auto"/>
            <w:vAlign w:val="center"/>
          </w:tcPr>
          <w:p w14:paraId="3750F274" w14:textId="77777777" w:rsidR="002541AD" w:rsidRDefault="002541AD">
            <w:pPr>
              <w:rPr>
                <w:rFonts w:ascii="Times New Roman" w:hAnsi="Times New Roman"/>
                <w:sz w:val="20"/>
                <w:szCs w:val="20"/>
              </w:rPr>
            </w:pPr>
          </w:p>
        </w:tc>
        <w:tc>
          <w:tcPr>
            <w:tcW w:w="500" w:type="pct"/>
            <w:shd w:val="clear" w:color="auto" w:fill="auto"/>
            <w:vAlign w:val="center"/>
          </w:tcPr>
          <w:p w14:paraId="3750F275" w14:textId="77777777" w:rsidR="002541AD" w:rsidRDefault="002541AD">
            <w:pPr>
              <w:rPr>
                <w:rFonts w:ascii="Times New Roman" w:hAnsi="Times New Roman"/>
                <w:sz w:val="20"/>
                <w:szCs w:val="20"/>
              </w:rPr>
            </w:pPr>
          </w:p>
        </w:tc>
        <w:tc>
          <w:tcPr>
            <w:tcW w:w="50" w:type="pct"/>
            <w:shd w:val="clear" w:color="auto" w:fill="auto"/>
            <w:vAlign w:val="center"/>
          </w:tcPr>
          <w:p w14:paraId="3750F276" w14:textId="77777777" w:rsidR="002541AD" w:rsidRDefault="002541AD">
            <w:pPr>
              <w:rPr>
                <w:rFonts w:ascii="Times New Roman" w:hAnsi="Times New Roman"/>
                <w:sz w:val="20"/>
                <w:szCs w:val="20"/>
              </w:rPr>
            </w:pPr>
          </w:p>
        </w:tc>
      </w:tr>
      <w:tr w:rsidR="002541AD" w14:paraId="3750F27D"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F278"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(In Millions)</w:t>
            </w:r>
          </w:p>
        </w:tc>
        <w:tc>
          <w:tcPr>
            <w:tcW w:w="0" w:type="auto"/>
            <w:shd w:val="clear" w:color="auto" w:fill="auto"/>
            <w:tcMar>
              <w:top w:w="40" w:type="dxa"/>
              <w:left w:w="40" w:type="dxa"/>
              <w:bottom w:w="40" w:type="dxa"/>
              <w:right w:w="40" w:type="dxa"/>
            </w:tcMar>
            <w:vAlign w:val="bottom"/>
          </w:tcPr>
          <w:p w14:paraId="3750F27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F27A"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Q1 2020</w:t>
            </w:r>
          </w:p>
        </w:tc>
        <w:tc>
          <w:tcPr>
            <w:tcW w:w="0" w:type="auto"/>
            <w:shd w:val="clear" w:color="auto" w:fill="auto"/>
            <w:tcMar>
              <w:top w:w="40" w:type="dxa"/>
              <w:left w:w="40" w:type="dxa"/>
              <w:bottom w:w="40" w:type="dxa"/>
              <w:right w:w="40" w:type="dxa"/>
            </w:tcMar>
            <w:vAlign w:val="bottom"/>
          </w:tcPr>
          <w:p w14:paraId="3750F27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F27C"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Q1 2019</w:t>
            </w:r>
          </w:p>
        </w:tc>
      </w:tr>
      <w:tr w:rsidR="002541AD" w14:paraId="3750F287"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F27E" w14:textId="77777777" w:rsidR="002541AD" w:rsidRDefault="00901AA6">
            <w:pPr>
              <w:textAlignment w:val="center"/>
              <w:rPr>
                <w:rFonts w:ascii="Times New Roman" w:hAnsi="Times New Roman"/>
                <w:sz w:val="18"/>
                <w:szCs w:val="18"/>
              </w:rPr>
            </w:pPr>
            <w:r>
              <w:rPr>
                <w:rFonts w:ascii="Arial" w:eastAsia="宋体" w:hAnsi="Arial" w:cs="Arial"/>
                <w:color w:val="333333"/>
                <w:sz w:val="18"/>
                <w:szCs w:val="18"/>
              </w:rPr>
              <w:t>Ongoing mark-to-market adjustments on marketable equity securities</w:t>
            </w:r>
          </w:p>
        </w:tc>
        <w:tc>
          <w:tcPr>
            <w:tcW w:w="0" w:type="auto"/>
            <w:shd w:val="clear" w:color="auto" w:fill="auto"/>
            <w:tcMar>
              <w:top w:w="40" w:type="dxa"/>
              <w:left w:w="40" w:type="dxa"/>
              <w:bottom w:w="40" w:type="dxa"/>
              <w:right w:w="40" w:type="dxa"/>
            </w:tcMar>
            <w:vAlign w:val="bottom"/>
          </w:tcPr>
          <w:p w14:paraId="3750F27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3750F280"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tcBorders>
              <w:top w:val="single" w:sz="8" w:space="0" w:color="0071C5"/>
            </w:tcBorders>
            <w:shd w:val="clear" w:color="auto" w:fill="auto"/>
            <w:tcMar>
              <w:top w:w="40" w:type="dxa"/>
              <w:bottom w:w="40" w:type="dxa"/>
            </w:tcMar>
            <w:vAlign w:val="bottom"/>
          </w:tcPr>
          <w:p w14:paraId="3750F28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(103</w:t>
            </w:r>
          </w:p>
        </w:tc>
        <w:tc>
          <w:tcPr>
            <w:tcW w:w="0" w:type="auto"/>
            <w:tcBorders>
              <w:top w:val="single" w:sz="8" w:space="0" w:color="0071C5"/>
            </w:tcBorders>
            <w:shd w:val="clear" w:color="auto" w:fill="auto"/>
            <w:tcMar>
              <w:top w:w="40" w:type="dxa"/>
              <w:bottom w:w="40" w:type="dxa"/>
              <w:right w:w="40" w:type="dxa"/>
            </w:tcMar>
            <w:vAlign w:val="bottom"/>
          </w:tcPr>
          <w:p w14:paraId="3750F282"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F28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tcMar>
            <w:vAlign w:val="bottom"/>
          </w:tcPr>
          <w:p w14:paraId="3750F284"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top w:val="single" w:sz="8" w:space="0" w:color="0071C5"/>
            </w:tcBorders>
            <w:shd w:val="clear" w:color="auto" w:fill="auto"/>
            <w:tcMar>
              <w:top w:w="40" w:type="dxa"/>
              <w:bottom w:w="40" w:type="dxa"/>
            </w:tcMar>
            <w:vAlign w:val="bottom"/>
          </w:tcPr>
          <w:p w14:paraId="3750F285"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253</w:t>
            </w:r>
          </w:p>
        </w:tc>
        <w:tc>
          <w:tcPr>
            <w:tcW w:w="0" w:type="auto"/>
            <w:tcBorders>
              <w:top w:val="single" w:sz="8" w:space="0" w:color="0071C5"/>
            </w:tcBorders>
            <w:shd w:val="clear" w:color="auto" w:fill="auto"/>
            <w:vAlign w:val="bottom"/>
          </w:tcPr>
          <w:p w14:paraId="3750F286" w14:textId="77777777" w:rsidR="002541AD" w:rsidRDefault="002541AD">
            <w:pPr>
              <w:textAlignment w:val="bottom"/>
              <w:rPr>
                <w:rFonts w:ascii="Times New Roman" w:hAnsi="Times New Roman"/>
                <w:sz w:val="20"/>
                <w:szCs w:val="20"/>
              </w:rPr>
            </w:pPr>
          </w:p>
        </w:tc>
      </w:tr>
      <w:tr w:rsidR="002541AD" w14:paraId="3750F28F" w14:textId="77777777">
        <w:tc>
          <w:tcPr>
            <w:tcW w:w="0" w:type="auto"/>
            <w:shd w:val="clear" w:color="auto" w:fill="auto"/>
            <w:tcMar>
              <w:top w:w="40" w:type="dxa"/>
              <w:left w:w="40" w:type="dxa"/>
              <w:bottom w:w="40" w:type="dxa"/>
              <w:right w:w="40" w:type="dxa"/>
            </w:tcMar>
            <w:vAlign w:val="bottom"/>
          </w:tcPr>
          <w:p w14:paraId="3750F288"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xml:space="preserve">Observable price adjustments on non-marketable equity securities </w:t>
            </w:r>
          </w:p>
        </w:tc>
        <w:tc>
          <w:tcPr>
            <w:tcW w:w="0" w:type="auto"/>
            <w:shd w:val="clear" w:color="auto" w:fill="auto"/>
            <w:tcMar>
              <w:top w:w="40" w:type="dxa"/>
              <w:left w:w="40" w:type="dxa"/>
              <w:bottom w:w="40" w:type="dxa"/>
              <w:right w:w="40" w:type="dxa"/>
            </w:tcMar>
            <w:vAlign w:val="bottom"/>
          </w:tcPr>
          <w:p w14:paraId="3750F28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28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79</w:t>
            </w:r>
          </w:p>
        </w:tc>
        <w:tc>
          <w:tcPr>
            <w:tcW w:w="0" w:type="auto"/>
            <w:shd w:val="clear" w:color="auto" w:fill="auto"/>
            <w:vAlign w:val="bottom"/>
          </w:tcPr>
          <w:p w14:paraId="3750F28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28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28D"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8</w:t>
            </w:r>
          </w:p>
        </w:tc>
        <w:tc>
          <w:tcPr>
            <w:tcW w:w="0" w:type="auto"/>
            <w:shd w:val="clear" w:color="auto" w:fill="auto"/>
            <w:vAlign w:val="bottom"/>
          </w:tcPr>
          <w:p w14:paraId="3750F28E" w14:textId="77777777" w:rsidR="002541AD" w:rsidRDefault="002541AD">
            <w:pPr>
              <w:textAlignment w:val="bottom"/>
              <w:rPr>
                <w:rFonts w:ascii="Times New Roman" w:hAnsi="Times New Roman"/>
                <w:sz w:val="20"/>
                <w:szCs w:val="20"/>
              </w:rPr>
            </w:pPr>
          </w:p>
        </w:tc>
      </w:tr>
      <w:tr w:rsidR="002541AD" w14:paraId="3750F297" w14:textId="77777777">
        <w:tc>
          <w:tcPr>
            <w:tcW w:w="0" w:type="auto"/>
            <w:shd w:val="clear" w:color="auto" w:fill="auto"/>
            <w:tcMar>
              <w:top w:w="40" w:type="dxa"/>
              <w:left w:w="40" w:type="dxa"/>
              <w:bottom w:w="40" w:type="dxa"/>
              <w:right w:w="40" w:type="dxa"/>
            </w:tcMar>
            <w:vAlign w:val="bottom"/>
          </w:tcPr>
          <w:p w14:paraId="3750F290"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Impairment charges</w:t>
            </w:r>
          </w:p>
        </w:tc>
        <w:tc>
          <w:tcPr>
            <w:tcW w:w="0" w:type="auto"/>
            <w:shd w:val="clear" w:color="auto" w:fill="auto"/>
            <w:tcMar>
              <w:top w:w="40" w:type="dxa"/>
              <w:left w:w="40" w:type="dxa"/>
              <w:bottom w:w="40" w:type="dxa"/>
              <w:right w:w="40" w:type="dxa"/>
            </w:tcMar>
            <w:vAlign w:val="bottom"/>
          </w:tcPr>
          <w:p w14:paraId="3750F29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292"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(143</w:t>
            </w:r>
          </w:p>
        </w:tc>
        <w:tc>
          <w:tcPr>
            <w:tcW w:w="0" w:type="auto"/>
            <w:shd w:val="clear" w:color="auto" w:fill="auto"/>
            <w:tcMar>
              <w:top w:w="40" w:type="dxa"/>
              <w:bottom w:w="40" w:type="dxa"/>
              <w:right w:w="40" w:type="dxa"/>
            </w:tcMar>
            <w:vAlign w:val="bottom"/>
          </w:tcPr>
          <w:p w14:paraId="3750F293"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F29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295"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(23</w:t>
            </w:r>
          </w:p>
        </w:tc>
        <w:tc>
          <w:tcPr>
            <w:tcW w:w="0" w:type="auto"/>
            <w:shd w:val="clear" w:color="auto" w:fill="auto"/>
            <w:tcMar>
              <w:top w:w="40" w:type="dxa"/>
              <w:bottom w:w="40" w:type="dxa"/>
              <w:right w:w="40" w:type="dxa"/>
            </w:tcMar>
            <w:vAlign w:val="bottom"/>
          </w:tcPr>
          <w:p w14:paraId="3750F296"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F29F" w14:textId="77777777">
        <w:tc>
          <w:tcPr>
            <w:tcW w:w="0" w:type="auto"/>
            <w:shd w:val="clear" w:color="auto" w:fill="auto"/>
            <w:tcMar>
              <w:top w:w="40" w:type="dxa"/>
              <w:left w:w="40" w:type="dxa"/>
              <w:bottom w:w="40" w:type="dxa"/>
              <w:right w:w="40" w:type="dxa"/>
            </w:tcMar>
            <w:vAlign w:val="bottom"/>
          </w:tcPr>
          <w:p w14:paraId="3750F298"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xml:space="preserve">Sale of </w:t>
            </w:r>
            <w:r>
              <w:rPr>
                <w:rFonts w:ascii="Arial" w:eastAsia="宋体" w:hAnsi="Arial" w:cs="Arial"/>
                <w:color w:val="333333"/>
                <w:sz w:val="18"/>
                <w:szCs w:val="18"/>
              </w:rPr>
              <w:t>equity investments and other</w:t>
            </w:r>
            <w:r>
              <w:rPr>
                <w:rFonts w:ascii="Arial" w:eastAsia="宋体" w:hAnsi="Arial" w:cs="Arial"/>
                <w:color w:val="333333"/>
                <w:sz w:val="12"/>
                <w:szCs w:val="12"/>
              </w:rPr>
              <w:t> </w:t>
            </w:r>
          </w:p>
        </w:tc>
        <w:tc>
          <w:tcPr>
            <w:tcW w:w="0" w:type="auto"/>
            <w:shd w:val="clear" w:color="auto" w:fill="auto"/>
            <w:tcMar>
              <w:top w:w="40" w:type="dxa"/>
              <w:left w:w="40" w:type="dxa"/>
              <w:bottom w:w="40" w:type="dxa"/>
              <w:right w:w="40" w:type="dxa"/>
            </w:tcMar>
            <w:vAlign w:val="bottom"/>
          </w:tcPr>
          <w:p w14:paraId="3750F29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29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56</w:t>
            </w:r>
          </w:p>
        </w:tc>
        <w:tc>
          <w:tcPr>
            <w:tcW w:w="0" w:type="auto"/>
            <w:shd w:val="clear" w:color="auto" w:fill="auto"/>
            <w:vAlign w:val="bottom"/>
          </w:tcPr>
          <w:p w14:paraId="3750F29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29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F29D"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196</w:t>
            </w:r>
          </w:p>
        </w:tc>
        <w:tc>
          <w:tcPr>
            <w:tcW w:w="0" w:type="auto"/>
            <w:tcBorders>
              <w:bottom w:val="single" w:sz="8" w:space="0" w:color="333333"/>
            </w:tcBorders>
            <w:shd w:val="clear" w:color="auto" w:fill="auto"/>
            <w:vAlign w:val="bottom"/>
          </w:tcPr>
          <w:p w14:paraId="3750F29E" w14:textId="77777777" w:rsidR="002541AD" w:rsidRDefault="002541AD">
            <w:pPr>
              <w:textAlignment w:val="bottom"/>
              <w:rPr>
                <w:rFonts w:ascii="Times New Roman" w:hAnsi="Times New Roman"/>
                <w:sz w:val="20"/>
                <w:szCs w:val="20"/>
              </w:rPr>
            </w:pPr>
          </w:p>
        </w:tc>
      </w:tr>
      <w:tr w:rsidR="002541AD" w14:paraId="3750F2A9" w14:textId="77777777">
        <w:tc>
          <w:tcPr>
            <w:tcW w:w="0" w:type="auto"/>
            <w:shd w:val="clear" w:color="auto" w:fill="auto"/>
            <w:tcMar>
              <w:top w:w="40" w:type="dxa"/>
              <w:left w:w="40" w:type="dxa"/>
              <w:bottom w:w="40" w:type="dxa"/>
              <w:right w:w="40" w:type="dxa"/>
            </w:tcMar>
            <w:vAlign w:val="bottom"/>
          </w:tcPr>
          <w:p w14:paraId="3750F2A0"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Gains (losses) on equity investments, net</w:t>
            </w:r>
          </w:p>
        </w:tc>
        <w:tc>
          <w:tcPr>
            <w:tcW w:w="0" w:type="auto"/>
            <w:shd w:val="clear" w:color="auto" w:fill="auto"/>
            <w:tcMar>
              <w:top w:w="40" w:type="dxa"/>
              <w:left w:w="40" w:type="dxa"/>
              <w:bottom w:w="40" w:type="dxa"/>
              <w:right w:w="40" w:type="dxa"/>
            </w:tcMar>
            <w:vAlign w:val="bottom"/>
          </w:tcPr>
          <w:p w14:paraId="3750F2A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F2A2"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F2A3"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(111</w:t>
            </w:r>
          </w:p>
        </w:tc>
        <w:tc>
          <w:tcPr>
            <w:tcW w:w="0" w:type="auto"/>
            <w:tcBorders>
              <w:top w:val="single" w:sz="8" w:space="0" w:color="333333"/>
              <w:bottom w:val="double" w:sz="6" w:space="0" w:color="333333"/>
            </w:tcBorders>
            <w:shd w:val="clear" w:color="auto" w:fill="auto"/>
            <w:tcMar>
              <w:top w:w="40" w:type="dxa"/>
              <w:bottom w:w="40" w:type="dxa"/>
              <w:right w:w="40" w:type="dxa"/>
            </w:tcMar>
            <w:vAlign w:val="bottom"/>
          </w:tcPr>
          <w:p w14:paraId="3750F2A4"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3750F2A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F2A6"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F2A7"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434</w:t>
            </w:r>
          </w:p>
        </w:tc>
        <w:tc>
          <w:tcPr>
            <w:tcW w:w="0" w:type="auto"/>
            <w:tcBorders>
              <w:top w:val="single" w:sz="8" w:space="0" w:color="333333"/>
              <w:bottom w:val="double" w:sz="6" w:space="0" w:color="333333"/>
            </w:tcBorders>
            <w:shd w:val="clear" w:color="auto" w:fill="auto"/>
            <w:vAlign w:val="bottom"/>
          </w:tcPr>
          <w:p w14:paraId="3750F2A8" w14:textId="77777777" w:rsidR="002541AD" w:rsidRDefault="002541AD">
            <w:pPr>
              <w:textAlignment w:val="bottom"/>
              <w:rPr>
                <w:rFonts w:ascii="Times New Roman" w:hAnsi="Times New Roman"/>
                <w:sz w:val="20"/>
                <w:szCs w:val="20"/>
              </w:rPr>
            </w:pPr>
          </w:p>
        </w:tc>
      </w:tr>
      <w:tr w:rsidR="002541AD" w14:paraId="3750F2AF" w14:textId="77777777">
        <w:tc>
          <w:tcPr>
            <w:tcW w:w="0" w:type="auto"/>
            <w:shd w:val="clear" w:color="auto" w:fill="auto"/>
            <w:tcMar>
              <w:top w:w="40" w:type="dxa"/>
              <w:left w:w="40" w:type="dxa"/>
              <w:bottom w:w="40" w:type="dxa"/>
              <w:right w:w="40" w:type="dxa"/>
            </w:tcMar>
            <w:vAlign w:val="bottom"/>
          </w:tcPr>
          <w:p w14:paraId="3750F2A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2A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F2A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2A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F2A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2B9" w14:textId="77777777">
        <w:tc>
          <w:tcPr>
            <w:tcW w:w="0" w:type="auto"/>
            <w:shd w:val="clear" w:color="auto" w:fill="auto"/>
            <w:tcMar>
              <w:top w:w="40" w:type="dxa"/>
              <w:left w:w="40" w:type="dxa"/>
              <w:bottom w:w="40" w:type="dxa"/>
              <w:right w:w="40" w:type="dxa"/>
            </w:tcMar>
            <w:vAlign w:val="bottom"/>
          </w:tcPr>
          <w:p w14:paraId="3750F2B0"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Interest and other, net</w:t>
            </w:r>
          </w:p>
        </w:tc>
        <w:tc>
          <w:tcPr>
            <w:tcW w:w="0" w:type="auto"/>
            <w:shd w:val="clear" w:color="auto" w:fill="auto"/>
            <w:tcMar>
              <w:top w:w="40" w:type="dxa"/>
              <w:left w:w="40" w:type="dxa"/>
              <w:bottom w:w="40" w:type="dxa"/>
              <w:right w:w="40" w:type="dxa"/>
            </w:tcMar>
            <w:vAlign w:val="bottom"/>
          </w:tcPr>
          <w:p w14:paraId="3750F2B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2B2"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3750F2B3"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(313</w:t>
            </w:r>
          </w:p>
        </w:tc>
        <w:tc>
          <w:tcPr>
            <w:tcW w:w="0" w:type="auto"/>
            <w:shd w:val="clear" w:color="auto" w:fill="auto"/>
            <w:tcMar>
              <w:top w:w="40" w:type="dxa"/>
              <w:bottom w:w="40" w:type="dxa"/>
              <w:right w:w="40" w:type="dxa"/>
            </w:tcMar>
            <w:vAlign w:val="bottom"/>
          </w:tcPr>
          <w:p w14:paraId="3750F2B4"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3750F2B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2B6"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3750F2B7"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(61</w:t>
            </w:r>
          </w:p>
        </w:tc>
        <w:tc>
          <w:tcPr>
            <w:tcW w:w="0" w:type="auto"/>
            <w:shd w:val="clear" w:color="auto" w:fill="auto"/>
            <w:tcMar>
              <w:top w:w="40" w:type="dxa"/>
              <w:bottom w:w="40" w:type="dxa"/>
              <w:right w:w="40" w:type="dxa"/>
            </w:tcMar>
            <w:vAlign w:val="bottom"/>
          </w:tcPr>
          <w:p w14:paraId="3750F2B8"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r>
    </w:tbl>
    <w:p w14:paraId="3750F2BA" w14:textId="77777777" w:rsidR="002541AD" w:rsidRDefault="00901AA6">
      <w:pPr>
        <w:spacing w:line="288" w:lineRule="auto"/>
        <w:rPr>
          <w:rFonts w:ascii="Times New Roman" w:hAnsi="Times New Roman"/>
          <w:sz w:val="20"/>
          <w:szCs w:val="20"/>
        </w:rPr>
      </w:pPr>
      <w:r>
        <w:rPr>
          <w:rFonts w:ascii="Arial" w:eastAsia="宋体" w:hAnsi="Arial" w:cs="Arial"/>
          <w:b/>
          <w:bCs/>
          <w:color w:val="333333"/>
          <w:sz w:val="20"/>
          <w:szCs w:val="20"/>
        </w:rPr>
        <w:t>Gains (losses) on equity investments, net</w:t>
      </w:r>
    </w:p>
    <w:p w14:paraId="3750F2BB"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We recognized a $103 million ongoing </w:t>
      </w:r>
      <w:r>
        <w:rPr>
          <w:rFonts w:ascii="Arial" w:eastAsia="宋体" w:hAnsi="Arial" w:cs="Arial"/>
          <w:color w:val="333333"/>
          <w:sz w:val="18"/>
          <w:szCs w:val="18"/>
        </w:rPr>
        <w:t>mark-to-market loss during the first three months of 2020, primarily related to our interest in Cloudera Inc. During the first three months of 2019, we recognized ongoing mark-to-market gains of $253 million, primarily driven by our interest in ASML Holdin</w:t>
      </w:r>
      <w:r>
        <w:rPr>
          <w:rFonts w:ascii="Arial" w:eastAsia="宋体" w:hAnsi="Arial" w:cs="Arial"/>
          <w:color w:val="333333"/>
          <w:sz w:val="18"/>
          <w:szCs w:val="18"/>
        </w:rPr>
        <w:t>g N.V. (ASML).</w:t>
      </w:r>
    </w:p>
    <w:p w14:paraId="3750F2BC"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We recognized $143 million of impairment charges on our non-marketable portfolio in the first three months of 2020 based on our assessment of the impact of recent public and private market volatility and tightening of liquidity.</w:t>
      </w:r>
    </w:p>
    <w:p w14:paraId="3750F2BD"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We recognize</w:t>
      </w:r>
      <w:r>
        <w:rPr>
          <w:rFonts w:ascii="Arial" w:eastAsia="宋体" w:hAnsi="Arial" w:cs="Arial"/>
          <w:color w:val="333333"/>
          <w:sz w:val="18"/>
          <w:szCs w:val="18"/>
        </w:rPr>
        <w:t xml:space="preserve">d $154 million of McAfee dividends during the first three months of 2019. </w:t>
      </w:r>
    </w:p>
    <w:p w14:paraId="3750F2BE" w14:textId="77777777" w:rsidR="002541AD" w:rsidRDefault="00901AA6">
      <w:pPr>
        <w:spacing w:line="288" w:lineRule="auto"/>
        <w:rPr>
          <w:rFonts w:ascii="Times New Roman" w:hAnsi="Times New Roman"/>
          <w:sz w:val="20"/>
          <w:szCs w:val="20"/>
        </w:rPr>
      </w:pPr>
      <w:r>
        <w:rPr>
          <w:rFonts w:ascii="Arial" w:eastAsia="宋体" w:hAnsi="Arial" w:cs="Arial"/>
          <w:b/>
          <w:bCs/>
          <w:color w:val="333333"/>
          <w:sz w:val="20"/>
          <w:szCs w:val="20"/>
        </w:rPr>
        <w:t>Interest and other, net</w:t>
      </w:r>
    </w:p>
    <w:p w14:paraId="3750F2BF"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For the three months ended March 28, 2020, we paid $1.1 billion to satisfy conversion obligations for $372 million of our $2.0 billion 2009 Debentures and re</w:t>
      </w:r>
      <w:r>
        <w:rPr>
          <w:rFonts w:ascii="Arial" w:eastAsia="宋体" w:hAnsi="Arial" w:cs="Arial"/>
          <w:color w:val="333333"/>
          <w:sz w:val="18"/>
          <w:szCs w:val="18"/>
        </w:rPr>
        <w:t>cognized a loss of $109 million in interest and other, net and $750 million as a reduction in stockholders' equity related to the conversion feature. For the three months ended March 30, 2019, we paid $862 million to satisfy conversion obligations for $337</w:t>
      </w:r>
      <w:r>
        <w:rPr>
          <w:rFonts w:ascii="Arial" w:eastAsia="宋体" w:hAnsi="Arial" w:cs="Arial"/>
          <w:color w:val="333333"/>
          <w:sz w:val="18"/>
          <w:szCs w:val="18"/>
        </w:rPr>
        <w:t xml:space="preserve"> million of our 2009 Debentures and recognized a loss of $76 million in interest and other, net and $593 million as a reduction in stockholders' equity related to the conversion feature.</w:t>
      </w:r>
    </w:p>
    <w:p w14:paraId="3750F2C0"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PROVISION FOR TAXES</w:t>
      </w:r>
    </w:p>
    <w:tbl>
      <w:tblPr>
        <w:tblW w:w="5000" w:type="pct"/>
        <w:tblCellMar>
          <w:left w:w="0" w:type="dxa"/>
          <w:right w:w="0" w:type="dxa"/>
        </w:tblCellMar>
        <w:tblLook w:val="04A0" w:firstRow="1" w:lastRow="0" w:firstColumn="1" w:lastColumn="0" w:noHBand="0" w:noVBand="1"/>
      </w:tblPr>
      <w:tblGrid>
        <w:gridCol w:w="5997"/>
        <w:gridCol w:w="130"/>
        <w:gridCol w:w="141"/>
        <w:gridCol w:w="682"/>
        <w:gridCol w:w="201"/>
        <w:gridCol w:w="130"/>
        <w:gridCol w:w="141"/>
        <w:gridCol w:w="683"/>
        <w:gridCol w:w="201"/>
      </w:tblGrid>
      <w:tr w:rsidR="002541AD" w14:paraId="3750F2C2" w14:textId="77777777">
        <w:tc>
          <w:tcPr>
            <w:tcW w:w="0" w:type="auto"/>
            <w:gridSpan w:val="9"/>
            <w:shd w:val="clear" w:color="auto" w:fill="auto"/>
            <w:vAlign w:val="center"/>
          </w:tcPr>
          <w:p w14:paraId="3750F2C1" w14:textId="77777777" w:rsidR="002541AD" w:rsidRDefault="002541AD">
            <w:pPr>
              <w:rPr>
                <w:rFonts w:ascii="Times New Roman" w:hAnsi="Times New Roman"/>
                <w:sz w:val="20"/>
                <w:szCs w:val="20"/>
              </w:rPr>
            </w:pPr>
          </w:p>
        </w:tc>
      </w:tr>
      <w:tr w:rsidR="002541AD" w14:paraId="3750F2CC" w14:textId="77777777">
        <w:tc>
          <w:tcPr>
            <w:tcW w:w="3700" w:type="pct"/>
            <w:shd w:val="clear" w:color="auto" w:fill="auto"/>
            <w:vAlign w:val="center"/>
          </w:tcPr>
          <w:p w14:paraId="3750F2C3" w14:textId="77777777" w:rsidR="002541AD" w:rsidRDefault="002541AD">
            <w:pPr>
              <w:rPr>
                <w:rFonts w:ascii="Times New Roman" w:hAnsi="Times New Roman"/>
                <w:sz w:val="20"/>
                <w:szCs w:val="20"/>
              </w:rPr>
            </w:pPr>
          </w:p>
        </w:tc>
        <w:tc>
          <w:tcPr>
            <w:tcW w:w="50" w:type="pct"/>
            <w:shd w:val="clear" w:color="auto" w:fill="auto"/>
            <w:vAlign w:val="center"/>
          </w:tcPr>
          <w:p w14:paraId="3750F2C4" w14:textId="77777777" w:rsidR="002541AD" w:rsidRDefault="002541AD">
            <w:pPr>
              <w:rPr>
                <w:rFonts w:ascii="Times New Roman" w:hAnsi="Times New Roman"/>
                <w:sz w:val="20"/>
                <w:szCs w:val="20"/>
              </w:rPr>
            </w:pPr>
          </w:p>
        </w:tc>
        <w:tc>
          <w:tcPr>
            <w:tcW w:w="50" w:type="pct"/>
            <w:shd w:val="clear" w:color="auto" w:fill="auto"/>
            <w:vAlign w:val="center"/>
          </w:tcPr>
          <w:p w14:paraId="3750F2C5" w14:textId="77777777" w:rsidR="002541AD" w:rsidRDefault="002541AD">
            <w:pPr>
              <w:rPr>
                <w:rFonts w:ascii="Times New Roman" w:hAnsi="Times New Roman"/>
                <w:sz w:val="20"/>
                <w:szCs w:val="20"/>
              </w:rPr>
            </w:pPr>
          </w:p>
        </w:tc>
        <w:tc>
          <w:tcPr>
            <w:tcW w:w="500" w:type="pct"/>
            <w:shd w:val="clear" w:color="auto" w:fill="auto"/>
            <w:vAlign w:val="center"/>
          </w:tcPr>
          <w:p w14:paraId="3750F2C6" w14:textId="77777777" w:rsidR="002541AD" w:rsidRDefault="002541AD">
            <w:pPr>
              <w:rPr>
                <w:rFonts w:ascii="Times New Roman" w:hAnsi="Times New Roman"/>
                <w:sz w:val="20"/>
                <w:szCs w:val="20"/>
              </w:rPr>
            </w:pPr>
          </w:p>
        </w:tc>
        <w:tc>
          <w:tcPr>
            <w:tcW w:w="50" w:type="pct"/>
            <w:shd w:val="clear" w:color="auto" w:fill="auto"/>
            <w:vAlign w:val="center"/>
          </w:tcPr>
          <w:p w14:paraId="3750F2C7" w14:textId="77777777" w:rsidR="002541AD" w:rsidRDefault="002541AD">
            <w:pPr>
              <w:rPr>
                <w:rFonts w:ascii="Times New Roman" w:hAnsi="Times New Roman"/>
                <w:sz w:val="20"/>
                <w:szCs w:val="20"/>
              </w:rPr>
            </w:pPr>
          </w:p>
        </w:tc>
        <w:tc>
          <w:tcPr>
            <w:tcW w:w="50" w:type="pct"/>
            <w:shd w:val="clear" w:color="auto" w:fill="auto"/>
            <w:vAlign w:val="center"/>
          </w:tcPr>
          <w:p w14:paraId="3750F2C8" w14:textId="77777777" w:rsidR="002541AD" w:rsidRDefault="002541AD">
            <w:pPr>
              <w:rPr>
                <w:rFonts w:ascii="Times New Roman" w:hAnsi="Times New Roman"/>
                <w:sz w:val="20"/>
                <w:szCs w:val="20"/>
              </w:rPr>
            </w:pPr>
          </w:p>
        </w:tc>
        <w:tc>
          <w:tcPr>
            <w:tcW w:w="50" w:type="pct"/>
            <w:shd w:val="clear" w:color="auto" w:fill="auto"/>
            <w:vAlign w:val="center"/>
          </w:tcPr>
          <w:p w14:paraId="3750F2C9" w14:textId="77777777" w:rsidR="002541AD" w:rsidRDefault="002541AD">
            <w:pPr>
              <w:rPr>
                <w:rFonts w:ascii="Times New Roman" w:hAnsi="Times New Roman"/>
                <w:sz w:val="20"/>
                <w:szCs w:val="20"/>
              </w:rPr>
            </w:pPr>
          </w:p>
        </w:tc>
        <w:tc>
          <w:tcPr>
            <w:tcW w:w="500" w:type="pct"/>
            <w:shd w:val="clear" w:color="auto" w:fill="auto"/>
            <w:vAlign w:val="center"/>
          </w:tcPr>
          <w:p w14:paraId="3750F2CA" w14:textId="77777777" w:rsidR="002541AD" w:rsidRDefault="002541AD">
            <w:pPr>
              <w:rPr>
                <w:rFonts w:ascii="Times New Roman" w:hAnsi="Times New Roman"/>
                <w:sz w:val="20"/>
                <w:szCs w:val="20"/>
              </w:rPr>
            </w:pPr>
          </w:p>
        </w:tc>
        <w:tc>
          <w:tcPr>
            <w:tcW w:w="50" w:type="pct"/>
            <w:shd w:val="clear" w:color="auto" w:fill="auto"/>
            <w:vAlign w:val="center"/>
          </w:tcPr>
          <w:p w14:paraId="3750F2CB" w14:textId="77777777" w:rsidR="002541AD" w:rsidRDefault="002541AD">
            <w:pPr>
              <w:rPr>
                <w:rFonts w:ascii="Times New Roman" w:hAnsi="Times New Roman"/>
                <w:sz w:val="20"/>
                <w:szCs w:val="20"/>
              </w:rPr>
            </w:pPr>
          </w:p>
        </w:tc>
      </w:tr>
      <w:tr w:rsidR="002541AD" w14:paraId="3750F2D2"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F2CD"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(Dollars in Millions)</w:t>
            </w:r>
          </w:p>
        </w:tc>
        <w:tc>
          <w:tcPr>
            <w:tcW w:w="0" w:type="auto"/>
            <w:shd w:val="clear" w:color="auto" w:fill="auto"/>
            <w:tcMar>
              <w:top w:w="40" w:type="dxa"/>
              <w:left w:w="40" w:type="dxa"/>
              <w:bottom w:w="40" w:type="dxa"/>
              <w:right w:w="40" w:type="dxa"/>
            </w:tcMar>
            <w:vAlign w:val="bottom"/>
          </w:tcPr>
          <w:p w14:paraId="3750F2C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F2CF"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Q1 2020</w:t>
            </w:r>
          </w:p>
        </w:tc>
        <w:tc>
          <w:tcPr>
            <w:tcW w:w="0" w:type="auto"/>
            <w:shd w:val="clear" w:color="auto" w:fill="auto"/>
            <w:tcMar>
              <w:top w:w="40" w:type="dxa"/>
              <w:left w:w="40" w:type="dxa"/>
              <w:bottom w:w="40" w:type="dxa"/>
              <w:right w:w="40" w:type="dxa"/>
            </w:tcMar>
            <w:vAlign w:val="bottom"/>
          </w:tcPr>
          <w:p w14:paraId="3750F2D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F2D1"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Q1 2019</w:t>
            </w:r>
          </w:p>
        </w:tc>
      </w:tr>
      <w:tr w:rsidR="002541AD" w14:paraId="3750F2DC" w14:textId="77777777">
        <w:tc>
          <w:tcPr>
            <w:tcW w:w="0" w:type="auto"/>
            <w:shd w:val="clear" w:color="auto" w:fill="auto"/>
            <w:tcMar>
              <w:top w:w="40" w:type="dxa"/>
              <w:left w:w="40" w:type="dxa"/>
              <w:bottom w:w="40" w:type="dxa"/>
              <w:right w:w="40" w:type="dxa"/>
            </w:tcMar>
          </w:tcPr>
          <w:p w14:paraId="3750F2D3"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Income before taxes</w:t>
            </w:r>
          </w:p>
        </w:tc>
        <w:tc>
          <w:tcPr>
            <w:tcW w:w="0" w:type="auto"/>
            <w:shd w:val="clear" w:color="auto" w:fill="auto"/>
            <w:tcMar>
              <w:top w:w="40" w:type="dxa"/>
              <w:left w:w="40" w:type="dxa"/>
              <w:bottom w:w="40" w:type="dxa"/>
              <w:right w:w="40" w:type="dxa"/>
            </w:tcMar>
            <w:vAlign w:val="bottom"/>
          </w:tcPr>
          <w:p w14:paraId="3750F2D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2D5"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F2D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6,614</w:t>
            </w:r>
          </w:p>
        </w:tc>
        <w:tc>
          <w:tcPr>
            <w:tcW w:w="0" w:type="auto"/>
            <w:shd w:val="clear" w:color="auto" w:fill="auto"/>
            <w:vAlign w:val="bottom"/>
          </w:tcPr>
          <w:p w14:paraId="3750F2D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2D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2D9"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F2DA"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4,547</w:t>
            </w:r>
          </w:p>
        </w:tc>
        <w:tc>
          <w:tcPr>
            <w:tcW w:w="0" w:type="auto"/>
            <w:shd w:val="clear" w:color="auto" w:fill="auto"/>
            <w:vAlign w:val="bottom"/>
          </w:tcPr>
          <w:p w14:paraId="3750F2DB" w14:textId="77777777" w:rsidR="002541AD" w:rsidRDefault="002541AD">
            <w:pPr>
              <w:textAlignment w:val="bottom"/>
              <w:rPr>
                <w:rFonts w:ascii="Times New Roman" w:hAnsi="Times New Roman"/>
                <w:sz w:val="20"/>
                <w:szCs w:val="20"/>
              </w:rPr>
            </w:pPr>
          </w:p>
        </w:tc>
      </w:tr>
      <w:tr w:rsidR="002541AD" w14:paraId="3750F2E6" w14:textId="77777777">
        <w:tc>
          <w:tcPr>
            <w:tcW w:w="0" w:type="auto"/>
            <w:shd w:val="clear" w:color="auto" w:fill="auto"/>
            <w:tcMar>
              <w:top w:w="40" w:type="dxa"/>
              <w:left w:w="40" w:type="dxa"/>
              <w:bottom w:w="40" w:type="dxa"/>
              <w:right w:w="40" w:type="dxa"/>
            </w:tcMar>
          </w:tcPr>
          <w:p w14:paraId="3750F2DD"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Provision for taxes</w:t>
            </w:r>
          </w:p>
        </w:tc>
        <w:tc>
          <w:tcPr>
            <w:tcW w:w="0" w:type="auto"/>
            <w:shd w:val="clear" w:color="auto" w:fill="auto"/>
            <w:tcMar>
              <w:top w:w="40" w:type="dxa"/>
              <w:left w:w="40" w:type="dxa"/>
              <w:bottom w:w="40" w:type="dxa"/>
              <w:right w:w="40" w:type="dxa"/>
            </w:tcMar>
            <w:vAlign w:val="bottom"/>
          </w:tcPr>
          <w:p w14:paraId="3750F2D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2DF"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F2E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953</w:t>
            </w:r>
          </w:p>
        </w:tc>
        <w:tc>
          <w:tcPr>
            <w:tcW w:w="0" w:type="auto"/>
            <w:shd w:val="clear" w:color="auto" w:fill="auto"/>
            <w:vAlign w:val="bottom"/>
          </w:tcPr>
          <w:p w14:paraId="3750F2E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2E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2E3"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F2E4"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573</w:t>
            </w:r>
          </w:p>
        </w:tc>
        <w:tc>
          <w:tcPr>
            <w:tcW w:w="0" w:type="auto"/>
            <w:shd w:val="clear" w:color="auto" w:fill="auto"/>
            <w:vAlign w:val="bottom"/>
          </w:tcPr>
          <w:p w14:paraId="3750F2E5" w14:textId="77777777" w:rsidR="002541AD" w:rsidRDefault="002541AD">
            <w:pPr>
              <w:textAlignment w:val="bottom"/>
              <w:rPr>
                <w:rFonts w:ascii="Times New Roman" w:hAnsi="Times New Roman"/>
                <w:sz w:val="20"/>
                <w:szCs w:val="20"/>
              </w:rPr>
            </w:pPr>
          </w:p>
        </w:tc>
      </w:tr>
      <w:tr w:rsidR="002541AD" w14:paraId="3750F2EE" w14:textId="77777777">
        <w:tc>
          <w:tcPr>
            <w:tcW w:w="0" w:type="auto"/>
            <w:shd w:val="clear" w:color="auto" w:fill="auto"/>
            <w:tcMar>
              <w:top w:w="40" w:type="dxa"/>
              <w:left w:w="40" w:type="dxa"/>
              <w:bottom w:w="40" w:type="dxa"/>
              <w:right w:w="40" w:type="dxa"/>
            </w:tcMar>
          </w:tcPr>
          <w:p w14:paraId="3750F2E7"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Effective tax rate</w:t>
            </w:r>
          </w:p>
        </w:tc>
        <w:tc>
          <w:tcPr>
            <w:tcW w:w="0" w:type="auto"/>
            <w:shd w:val="clear" w:color="auto" w:fill="auto"/>
            <w:tcMar>
              <w:top w:w="40" w:type="dxa"/>
              <w:left w:w="40" w:type="dxa"/>
              <w:bottom w:w="40" w:type="dxa"/>
              <w:right w:w="40" w:type="dxa"/>
            </w:tcMar>
            <w:vAlign w:val="bottom"/>
          </w:tcPr>
          <w:p w14:paraId="3750F2E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2E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14.4</w:t>
            </w:r>
          </w:p>
        </w:tc>
        <w:tc>
          <w:tcPr>
            <w:tcW w:w="0" w:type="auto"/>
            <w:shd w:val="clear" w:color="auto" w:fill="auto"/>
            <w:tcMar>
              <w:top w:w="40" w:type="dxa"/>
              <w:bottom w:w="40" w:type="dxa"/>
              <w:right w:w="40" w:type="dxa"/>
            </w:tcMar>
            <w:vAlign w:val="bottom"/>
          </w:tcPr>
          <w:p w14:paraId="3750F2EA"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F2E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2EC"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12.6</w:t>
            </w:r>
          </w:p>
        </w:tc>
        <w:tc>
          <w:tcPr>
            <w:tcW w:w="0" w:type="auto"/>
            <w:shd w:val="clear" w:color="auto" w:fill="auto"/>
            <w:tcMar>
              <w:top w:w="40" w:type="dxa"/>
              <w:bottom w:w="40" w:type="dxa"/>
              <w:right w:w="40" w:type="dxa"/>
            </w:tcMar>
            <w:vAlign w:val="bottom"/>
          </w:tcPr>
          <w:p w14:paraId="3750F2ED"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bl>
    <w:p w14:paraId="3750F2EF"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The increase in effective tax rate was driven by a lower U.S. tax benefit derived from sales to non-U.S. customers and a one-time tax charge associated with a valuation allowance against a net operating loss deferred tax asset. </w:t>
      </w:r>
    </w:p>
    <w:p w14:paraId="3750F2F0"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F2F2" w14:textId="77777777">
        <w:tc>
          <w:tcPr>
            <w:tcW w:w="0" w:type="auto"/>
            <w:gridSpan w:val="3"/>
            <w:shd w:val="clear" w:color="auto" w:fill="auto"/>
            <w:vAlign w:val="center"/>
          </w:tcPr>
          <w:p w14:paraId="3750F2F1" w14:textId="77777777" w:rsidR="002541AD" w:rsidRDefault="002541AD">
            <w:pPr>
              <w:rPr>
                <w:rFonts w:ascii="Times New Roman" w:hAnsi="Times New Roman"/>
                <w:sz w:val="20"/>
                <w:szCs w:val="20"/>
              </w:rPr>
            </w:pPr>
          </w:p>
        </w:tc>
      </w:tr>
      <w:tr w:rsidR="002541AD" w14:paraId="3750F2F6" w14:textId="77777777">
        <w:tc>
          <w:tcPr>
            <w:tcW w:w="1550" w:type="pct"/>
            <w:shd w:val="clear" w:color="auto" w:fill="auto"/>
            <w:vAlign w:val="center"/>
          </w:tcPr>
          <w:p w14:paraId="3750F2F3" w14:textId="77777777" w:rsidR="002541AD" w:rsidRDefault="002541AD">
            <w:pPr>
              <w:rPr>
                <w:rFonts w:ascii="Times New Roman" w:hAnsi="Times New Roman"/>
                <w:sz w:val="20"/>
                <w:szCs w:val="20"/>
              </w:rPr>
            </w:pPr>
          </w:p>
        </w:tc>
        <w:tc>
          <w:tcPr>
            <w:tcW w:w="2200" w:type="pct"/>
            <w:shd w:val="clear" w:color="auto" w:fill="auto"/>
            <w:vAlign w:val="center"/>
          </w:tcPr>
          <w:p w14:paraId="3750F2F4" w14:textId="77777777" w:rsidR="002541AD" w:rsidRDefault="002541AD">
            <w:pPr>
              <w:rPr>
                <w:rFonts w:ascii="Times New Roman" w:hAnsi="Times New Roman"/>
                <w:sz w:val="20"/>
                <w:szCs w:val="20"/>
              </w:rPr>
            </w:pPr>
          </w:p>
        </w:tc>
        <w:tc>
          <w:tcPr>
            <w:tcW w:w="1250" w:type="pct"/>
            <w:shd w:val="clear" w:color="auto" w:fill="auto"/>
            <w:vAlign w:val="center"/>
          </w:tcPr>
          <w:p w14:paraId="3750F2F5" w14:textId="77777777" w:rsidR="002541AD" w:rsidRDefault="002541AD">
            <w:pPr>
              <w:rPr>
                <w:rFonts w:ascii="Times New Roman" w:hAnsi="Times New Roman"/>
                <w:sz w:val="20"/>
                <w:szCs w:val="20"/>
              </w:rPr>
            </w:pPr>
          </w:p>
        </w:tc>
      </w:tr>
      <w:tr w:rsidR="002541AD" w14:paraId="3750F2FA"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F2F7"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C3" wp14:editId="3750F8C4">
                  <wp:extent cx="304800" cy="304800"/>
                  <wp:effectExtent l="0" t="0" r="0" b="0"/>
                  <wp:docPr id="14" name="图片 123"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3"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2F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2F9"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35</w:t>
            </w:r>
          </w:p>
        </w:tc>
      </w:tr>
    </w:tbl>
    <w:p w14:paraId="3750F2FB" w14:textId="77777777" w:rsidR="002541AD" w:rsidRDefault="002541AD">
      <w:pPr>
        <w:spacing w:line="288" w:lineRule="auto"/>
        <w:rPr>
          <w:rFonts w:ascii="Times New Roman" w:hAnsi="Times New Roman"/>
          <w:sz w:val="18"/>
          <w:szCs w:val="18"/>
        </w:rPr>
      </w:pPr>
    </w:p>
    <w:p w14:paraId="3750F2FC" w14:textId="77777777" w:rsidR="002541AD" w:rsidRDefault="00901AA6">
      <w:r>
        <w:rPr>
          <w:rFonts w:ascii="Times New Roman" w:hAnsi="Times New Roman"/>
          <w:sz w:val="18"/>
          <w:szCs w:val="18"/>
        </w:rPr>
        <w:pict w14:anchorId="3750F8C5">
          <v:rect id="_x0000_i1061" style="width:415.3pt;height:1.5pt" o:hralign="center" o:hrstd="t" o:hr="t" fillcolor="#a0a0a0" stroked="f"/>
        </w:pict>
      </w:r>
    </w:p>
    <w:p w14:paraId="3750F2FD" w14:textId="77777777" w:rsidR="002541AD" w:rsidRDefault="00901AA6">
      <w:pPr>
        <w:spacing w:line="288" w:lineRule="auto"/>
        <w:jc w:val="right"/>
        <w:rPr>
          <w:rFonts w:ascii="Times New Roman" w:hAnsi="Times New Roman"/>
          <w:sz w:val="16"/>
          <w:szCs w:val="16"/>
        </w:rPr>
      </w:pPr>
      <w:hyperlink r:id="rId64" w:anchor="s2CABEAF4222C52B4A34547BF538A8C27" w:history="1">
        <w:r>
          <w:rPr>
            <w:rStyle w:val="a5"/>
            <w:rFonts w:ascii="Arial" w:eastAsia="宋体" w:hAnsi="Arial" w:cs="Arial"/>
            <w:b/>
            <w:bCs/>
            <w:sz w:val="16"/>
            <w:szCs w:val="16"/>
          </w:rPr>
          <w:t>Table of Contents</w:t>
        </w:r>
      </w:hyperlink>
    </w:p>
    <w:p w14:paraId="3750F2FE" w14:textId="77777777" w:rsidR="002541AD" w:rsidRDefault="002541AD">
      <w:pPr>
        <w:spacing w:line="288" w:lineRule="auto"/>
        <w:jc w:val="right"/>
        <w:rPr>
          <w:rFonts w:ascii="Times New Roman" w:hAnsi="Times New Roman"/>
          <w:sz w:val="18"/>
          <w:szCs w:val="18"/>
        </w:rPr>
      </w:pPr>
    </w:p>
    <w:p w14:paraId="3750F2FF" w14:textId="77777777" w:rsidR="002541AD" w:rsidRDefault="002541AD">
      <w:pPr>
        <w:rPr>
          <w:rFonts w:ascii="Times New Roman" w:hAnsi="Times New Roman"/>
          <w:sz w:val="20"/>
          <w:szCs w:val="20"/>
        </w:rPr>
      </w:pPr>
    </w:p>
    <w:p w14:paraId="3750F300"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LIQUIDITY AND CAPITAL RESOURCES</w:t>
      </w:r>
    </w:p>
    <w:p w14:paraId="3750F301"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We consider the following when </w:t>
      </w:r>
      <w:r>
        <w:rPr>
          <w:rFonts w:ascii="Arial" w:eastAsia="宋体" w:hAnsi="Arial" w:cs="Arial"/>
          <w:color w:val="333333"/>
          <w:sz w:val="18"/>
          <w:szCs w:val="18"/>
        </w:rPr>
        <w:t>assessing our liquidity and capital resources:</w:t>
      </w:r>
    </w:p>
    <w:tbl>
      <w:tblPr>
        <w:tblW w:w="5000" w:type="pct"/>
        <w:tblCellMar>
          <w:left w:w="0" w:type="dxa"/>
          <w:right w:w="0" w:type="dxa"/>
        </w:tblCellMar>
        <w:tblLook w:val="04A0" w:firstRow="1" w:lastRow="0" w:firstColumn="1" w:lastColumn="0" w:noHBand="0" w:noVBand="1"/>
      </w:tblPr>
      <w:tblGrid>
        <w:gridCol w:w="5997"/>
        <w:gridCol w:w="130"/>
        <w:gridCol w:w="141"/>
        <w:gridCol w:w="682"/>
        <w:gridCol w:w="201"/>
        <w:gridCol w:w="130"/>
        <w:gridCol w:w="141"/>
        <w:gridCol w:w="683"/>
        <w:gridCol w:w="201"/>
      </w:tblGrid>
      <w:tr w:rsidR="002541AD" w14:paraId="3750F303" w14:textId="77777777">
        <w:tc>
          <w:tcPr>
            <w:tcW w:w="0" w:type="auto"/>
            <w:gridSpan w:val="9"/>
            <w:shd w:val="clear" w:color="auto" w:fill="auto"/>
            <w:vAlign w:val="center"/>
          </w:tcPr>
          <w:p w14:paraId="3750F302" w14:textId="77777777" w:rsidR="002541AD" w:rsidRDefault="002541AD">
            <w:pPr>
              <w:rPr>
                <w:rFonts w:ascii="Times New Roman" w:hAnsi="Times New Roman"/>
                <w:sz w:val="20"/>
                <w:szCs w:val="20"/>
              </w:rPr>
            </w:pPr>
          </w:p>
        </w:tc>
      </w:tr>
      <w:tr w:rsidR="002541AD" w14:paraId="3750F30D" w14:textId="77777777">
        <w:tc>
          <w:tcPr>
            <w:tcW w:w="3700" w:type="pct"/>
            <w:shd w:val="clear" w:color="auto" w:fill="auto"/>
            <w:vAlign w:val="center"/>
          </w:tcPr>
          <w:p w14:paraId="3750F304" w14:textId="77777777" w:rsidR="002541AD" w:rsidRDefault="002541AD">
            <w:pPr>
              <w:rPr>
                <w:rFonts w:ascii="Times New Roman" w:hAnsi="Times New Roman"/>
                <w:sz w:val="20"/>
                <w:szCs w:val="20"/>
              </w:rPr>
            </w:pPr>
          </w:p>
        </w:tc>
        <w:tc>
          <w:tcPr>
            <w:tcW w:w="50" w:type="pct"/>
            <w:shd w:val="clear" w:color="auto" w:fill="auto"/>
            <w:vAlign w:val="center"/>
          </w:tcPr>
          <w:p w14:paraId="3750F305" w14:textId="77777777" w:rsidR="002541AD" w:rsidRDefault="002541AD">
            <w:pPr>
              <w:rPr>
                <w:rFonts w:ascii="Times New Roman" w:hAnsi="Times New Roman"/>
                <w:sz w:val="20"/>
                <w:szCs w:val="20"/>
              </w:rPr>
            </w:pPr>
          </w:p>
        </w:tc>
        <w:tc>
          <w:tcPr>
            <w:tcW w:w="50" w:type="pct"/>
            <w:shd w:val="clear" w:color="auto" w:fill="auto"/>
            <w:vAlign w:val="center"/>
          </w:tcPr>
          <w:p w14:paraId="3750F306" w14:textId="77777777" w:rsidR="002541AD" w:rsidRDefault="002541AD">
            <w:pPr>
              <w:rPr>
                <w:rFonts w:ascii="Times New Roman" w:hAnsi="Times New Roman"/>
                <w:sz w:val="20"/>
                <w:szCs w:val="20"/>
              </w:rPr>
            </w:pPr>
          </w:p>
        </w:tc>
        <w:tc>
          <w:tcPr>
            <w:tcW w:w="500" w:type="pct"/>
            <w:shd w:val="clear" w:color="auto" w:fill="auto"/>
            <w:vAlign w:val="center"/>
          </w:tcPr>
          <w:p w14:paraId="3750F307" w14:textId="77777777" w:rsidR="002541AD" w:rsidRDefault="002541AD">
            <w:pPr>
              <w:rPr>
                <w:rFonts w:ascii="Times New Roman" w:hAnsi="Times New Roman"/>
                <w:sz w:val="20"/>
                <w:szCs w:val="20"/>
              </w:rPr>
            </w:pPr>
          </w:p>
        </w:tc>
        <w:tc>
          <w:tcPr>
            <w:tcW w:w="50" w:type="pct"/>
            <w:shd w:val="clear" w:color="auto" w:fill="auto"/>
            <w:vAlign w:val="center"/>
          </w:tcPr>
          <w:p w14:paraId="3750F308" w14:textId="77777777" w:rsidR="002541AD" w:rsidRDefault="002541AD">
            <w:pPr>
              <w:rPr>
                <w:rFonts w:ascii="Times New Roman" w:hAnsi="Times New Roman"/>
                <w:sz w:val="20"/>
                <w:szCs w:val="20"/>
              </w:rPr>
            </w:pPr>
          </w:p>
        </w:tc>
        <w:tc>
          <w:tcPr>
            <w:tcW w:w="50" w:type="pct"/>
            <w:shd w:val="clear" w:color="auto" w:fill="auto"/>
            <w:vAlign w:val="center"/>
          </w:tcPr>
          <w:p w14:paraId="3750F309" w14:textId="77777777" w:rsidR="002541AD" w:rsidRDefault="002541AD">
            <w:pPr>
              <w:rPr>
                <w:rFonts w:ascii="Times New Roman" w:hAnsi="Times New Roman"/>
                <w:sz w:val="20"/>
                <w:szCs w:val="20"/>
              </w:rPr>
            </w:pPr>
          </w:p>
        </w:tc>
        <w:tc>
          <w:tcPr>
            <w:tcW w:w="50" w:type="pct"/>
            <w:shd w:val="clear" w:color="auto" w:fill="auto"/>
            <w:vAlign w:val="center"/>
          </w:tcPr>
          <w:p w14:paraId="3750F30A" w14:textId="77777777" w:rsidR="002541AD" w:rsidRDefault="002541AD">
            <w:pPr>
              <w:rPr>
                <w:rFonts w:ascii="Times New Roman" w:hAnsi="Times New Roman"/>
                <w:sz w:val="20"/>
                <w:szCs w:val="20"/>
              </w:rPr>
            </w:pPr>
          </w:p>
        </w:tc>
        <w:tc>
          <w:tcPr>
            <w:tcW w:w="500" w:type="pct"/>
            <w:shd w:val="clear" w:color="auto" w:fill="auto"/>
            <w:vAlign w:val="center"/>
          </w:tcPr>
          <w:p w14:paraId="3750F30B" w14:textId="77777777" w:rsidR="002541AD" w:rsidRDefault="002541AD">
            <w:pPr>
              <w:rPr>
                <w:rFonts w:ascii="Times New Roman" w:hAnsi="Times New Roman"/>
                <w:sz w:val="20"/>
                <w:szCs w:val="20"/>
              </w:rPr>
            </w:pPr>
          </w:p>
        </w:tc>
        <w:tc>
          <w:tcPr>
            <w:tcW w:w="50" w:type="pct"/>
            <w:shd w:val="clear" w:color="auto" w:fill="auto"/>
            <w:vAlign w:val="center"/>
          </w:tcPr>
          <w:p w14:paraId="3750F30C" w14:textId="77777777" w:rsidR="002541AD" w:rsidRDefault="002541AD">
            <w:pPr>
              <w:rPr>
                <w:rFonts w:ascii="Times New Roman" w:hAnsi="Times New Roman"/>
                <w:sz w:val="20"/>
                <w:szCs w:val="20"/>
              </w:rPr>
            </w:pPr>
          </w:p>
        </w:tc>
      </w:tr>
      <w:tr w:rsidR="002541AD" w14:paraId="3750F313"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F30E"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(Dollars in Millions)</w:t>
            </w:r>
          </w:p>
        </w:tc>
        <w:tc>
          <w:tcPr>
            <w:tcW w:w="0" w:type="auto"/>
            <w:shd w:val="clear" w:color="auto" w:fill="auto"/>
            <w:tcMar>
              <w:top w:w="40" w:type="dxa"/>
              <w:left w:w="40" w:type="dxa"/>
              <w:bottom w:w="40" w:type="dxa"/>
              <w:right w:w="40" w:type="dxa"/>
            </w:tcMar>
            <w:vAlign w:val="bottom"/>
          </w:tcPr>
          <w:p w14:paraId="3750F30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F310"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c>
          <w:tcPr>
            <w:tcW w:w="0" w:type="auto"/>
            <w:shd w:val="clear" w:color="auto" w:fill="auto"/>
            <w:tcMar>
              <w:top w:w="40" w:type="dxa"/>
              <w:left w:w="40" w:type="dxa"/>
              <w:bottom w:w="40" w:type="dxa"/>
              <w:right w:w="40" w:type="dxa"/>
            </w:tcMar>
            <w:vAlign w:val="bottom"/>
          </w:tcPr>
          <w:p w14:paraId="3750F31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F312"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Dec 28, </w:t>
            </w:r>
            <w:r>
              <w:rPr>
                <w:rFonts w:ascii="Arial" w:eastAsia="宋体" w:hAnsi="Arial" w:cs="Arial"/>
                <w:b/>
                <w:bCs/>
                <w:color w:val="333333"/>
                <w:sz w:val="18"/>
                <w:szCs w:val="18"/>
              </w:rPr>
              <w:br/>
              <w:t>2019</w:t>
            </w:r>
          </w:p>
        </w:tc>
      </w:tr>
      <w:tr w:rsidR="002541AD" w14:paraId="3750F31D" w14:textId="77777777">
        <w:tc>
          <w:tcPr>
            <w:tcW w:w="0" w:type="auto"/>
            <w:shd w:val="clear" w:color="auto" w:fill="auto"/>
            <w:tcMar>
              <w:top w:w="40" w:type="dxa"/>
              <w:left w:w="40" w:type="dxa"/>
              <w:bottom w:w="40" w:type="dxa"/>
              <w:right w:w="40" w:type="dxa"/>
            </w:tcMar>
          </w:tcPr>
          <w:p w14:paraId="3750F314"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Cash and cash equivalents, short-term investments, and trading assets</w:t>
            </w:r>
          </w:p>
        </w:tc>
        <w:tc>
          <w:tcPr>
            <w:tcW w:w="0" w:type="auto"/>
            <w:shd w:val="clear" w:color="auto" w:fill="auto"/>
            <w:tcMar>
              <w:top w:w="40" w:type="dxa"/>
              <w:left w:w="40" w:type="dxa"/>
              <w:bottom w:w="40" w:type="dxa"/>
              <w:right w:w="40" w:type="dxa"/>
            </w:tcMar>
            <w:vAlign w:val="bottom"/>
          </w:tcPr>
          <w:p w14:paraId="3750F31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316"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F31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20,803</w:t>
            </w:r>
          </w:p>
        </w:tc>
        <w:tc>
          <w:tcPr>
            <w:tcW w:w="0" w:type="auto"/>
            <w:shd w:val="clear" w:color="auto" w:fill="auto"/>
            <w:vAlign w:val="bottom"/>
          </w:tcPr>
          <w:p w14:paraId="3750F31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31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31A"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F31B"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13,123</w:t>
            </w:r>
          </w:p>
        </w:tc>
        <w:tc>
          <w:tcPr>
            <w:tcW w:w="0" w:type="auto"/>
            <w:shd w:val="clear" w:color="auto" w:fill="auto"/>
            <w:vAlign w:val="bottom"/>
          </w:tcPr>
          <w:p w14:paraId="3750F31C" w14:textId="77777777" w:rsidR="002541AD" w:rsidRDefault="002541AD">
            <w:pPr>
              <w:textAlignment w:val="bottom"/>
              <w:rPr>
                <w:rFonts w:ascii="Times New Roman" w:hAnsi="Times New Roman"/>
                <w:sz w:val="20"/>
                <w:szCs w:val="20"/>
              </w:rPr>
            </w:pPr>
          </w:p>
        </w:tc>
      </w:tr>
      <w:tr w:rsidR="002541AD" w14:paraId="3750F327" w14:textId="77777777">
        <w:tc>
          <w:tcPr>
            <w:tcW w:w="0" w:type="auto"/>
            <w:shd w:val="clear" w:color="auto" w:fill="auto"/>
            <w:tcMar>
              <w:top w:w="40" w:type="dxa"/>
              <w:left w:w="40" w:type="dxa"/>
              <w:bottom w:w="40" w:type="dxa"/>
              <w:right w:w="40" w:type="dxa"/>
            </w:tcMar>
          </w:tcPr>
          <w:p w14:paraId="3750F31E"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Other long-term investments</w:t>
            </w:r>
          </w:p>
        </w:tc>
        <w:tc>
          <w:tcPr>
            <w:tcW w:w="0" w:type="auto"/>
            <w:shd w:val="clear" w:color="auto" w:fill="auto"/>
            <w:tcMar>
              <w:top w:w="40" w:type="dxa"/>
              <w:left w:w="40" w:type="dxa"/>
              <w:bottom w:w="40" w:type="dxa"/>
              <w:right w:w="40" w:type="dxa"/>
            </w:tcMar>
            <w:vAlign w:val="bottom"/>
          </w:tcPr>
          <w:p w14:paraId="3750F31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320"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F321"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2,943</w:t>
            </w:r>
          </w:p>
        </w:tc>
        <w:tc>
          <w:tcPr>
            <w:tcW w:w="0" w:type="auto"/>
            <w:shd w:val="clear" w:color="auto" w:fill="auto"/>
            <w:vAlign w:val="bottom"/>
          </w:tcPr>
          <w:p w14:paraId="3750F322"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32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324"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F325"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3,276</w:t>
            </w:r>
          </w:p>
        </w:tc>
        <w:tc>
          <w:tcPr>
            <w:tcW w:w="0" w:type="auto"/>
            <w:shd w:val="clear" w:color="auto" w:fill="auto"/>
            <w:vAlign w:val="bottom"/>
          </w:tcPr>
          <w:p w14:paraId="3750F326" w14:textId="77777777" w:rsidR="002541AD" w:rsidRDefault="002541AD">
            <w:pPr>
              <w:textAlignment w:val="bottom"/>
              <w:rPr>
                <w:rFonts w:ascii="Times New Roman" w:hAnsi="Times New Roman"/>
                <w:sz w:val="20"/>
                <w:szCs w:val="20"/>
              </w:rPr>
            </w:pPr>
          </w:p>
        </w:tc>
      </w:tr>
      <w:tr w:rsidR="002541AD" w14:paraId="3750F331" w14:textId="77777777">
        <w:tc>
          <w:tcPr>
            <w:tcW w:w="0" w:type="auto"/>
            <w:shd w:val="clear" w:color="auto" w:fill="auto"/>
            <w:tcMar>
              <w:top w:w="40" w:type="dxa"/>
              <w:left w:w="40" w:type="dxa"/>
              <w:bottom w:w="40" w:type="dxa"/>
              <w:right w:w="40" w:type="dxa"/>
            </w:tcMar>
          </w:tcPr>
          <w:p w14:paraId="3750F328"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Loans receivable and other</w:t>
            </w:r>
          </w:p>
        </w:tc>
        <w:tc>
          <w:tcPr>
            <w:tcW w:w="0" w:type="auto"/>
            <w:shd w:val="clear" w:color="auto" w:fill="auto"/>
            <w:tcMar>
              <w:top w:w="40" w:type="dxa"/>
              <w:left w:w="40" w:type="dxa"/>
              <w:bottom w:w="40" w:type="dxa"/>
              <w:right w:w="40" w:type="dxa"/>
            </w:tcMar>
            <w:vAlign w:val="bottom"/>
          </w:tcPr>
          <w:p w14:paraId="3750F32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32A"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F32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1,294</w:t>
            </w:r>
          </w:p>
        </w:tc>
        <w:tc>
          <w:tcPr>
            <w:tcW w:w="0" w:type="auto"/>
            <w:shd w:val="clear" w:color="auto" w:fill="auto"/>
            <w:vAlign w:val="bottom"/>
          </w:tcPr>
          <w:p w14:paraId="3750F32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32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32E"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F32F"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1,239</w:t>
            </w:r>
          </w:p>
        </w:tc>
        <w:tc>
          <w:tcPr>
            <w:tcW w:w="0" w:type="auto"/>
            <w:shd w:val="clear" w:color="auto" w:fill="auto"/>
            <w:vAlign w:val="bottom"/>
          </w:tcPr>
          <w:p w14:paraId="3750F330" w14:textId="77777777" w:rsidR="002541AD" w:rsidRDefault="002541AD">
            <w:pPr>
              <w:textAlignment w:val="bottom"/>
              <w:rPr>
                <w:rFonts w:ascii="Times New Roman" w:hAnsi="Times New Roman"/>
                <w:sz w:val="20"/>
                <w:szCs w:val="20"/>
              </w:rPr>
            </w:pPr>
          </w:p>
        </w:tc>
      </w:tr>
      <w:tr w:rsidR="002541AD" w14:paraId="3750F33B" w14:textId="77777777">
        <w:tc>
          <w:tcPr>
            <w:tcW w:w="0" w:type="auto"/>
            <w:shd w:val="clear" w:color="auto" w:fill="auto"/>
            <w:tcMar>
              <w:top w:w="40" w:type="dxa"/>
              <w:left w:w="40" w:type="dxa"/>
              <w:bottom w:w="40" w:type="dxa"/>
              <w:right w:w="40" w:type="dxa"/>
            </w:tcMar>
          </w:tcPr>
          <w:p w14:paraId="3750F332"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Reverse repurchase agreements with original maturities greater than three months</w:t>
            </w:r>
          </w:p>
        </w:tc>
        <w:tc>
          <w:tcPr>
            <w:tcW w:w="0" w:type="auto"/>
            <w:shd w:val="clear" w:color="auto" w:fill="auto"/>
            <w:tcMar>
              <w:top w:w="40" w:type="dxa"/>
              <w:left w:w="40" w:type="dxa"/>
              <w:bottom w:w="40" w:type="dxa"/>
              <w:right w:w="40" w:type="dxa"/>
            </w:tcMar>
            <w:vAlign w:val="bottom"/>
          </w:tcPr>
          <w:p w14:paraId="3750F33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334"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F335"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350</w:t>
            </w:r>
          </w:p>
        </w:tc>
        <w:tc>
          <w:tcPr>
            <w:tcW w:w="0" w:type="auto"/>
            <w:shd w:val="clear" w:color="auto" w:fill="auto"/>
            <w:vAlign w:val="bottom"/>
          </w:tcPr>
          <w:p w14:paraId="3750F33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33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338"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F339"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350</w:t>
            </w:r>
          </w:p>
        </w:tc>
        <w:tc>
          <w:tcPr>
            <w:tcW w:w="0" w:type="auto"/>
            <w:shd w:val="clear" w:color="auto" w:fill="auto"/>
            <w:vAlign w:val="bottom"/>
          </w:tcPr>
          <w:p w14:paraId="3750F33A" w14:textId="77777777" w:rsidR="002541AD" w:rsidRDefault="002541AD">
            <w:pPr>
              <w:textAlignment w:val="bottom"/>
              <w:rPr>
                <w:rFonts w:ascii="Times New Roman" w:hAnsi="Times New Roman"/>
                <w:sz w:val="20"/>
                <w:szCs w:val="20"/>
              </w:rPr>
            </w:pPr>
          </w:p>
        </w:tc>
      </w:tr>
      <w:tr w:rsidR="002541AD" w14:paraId="3750F345" w14:textId="77777777">
        <w:tc>
          <w:tcPr>
            <w:tcW w:w="0" w:type="auto"/>
            <w:shd w:val="clear" w:color="auto" w:fill="auto"/>
            <w:tcMar>
              <w:top w:w="40" w:type="dxa"/>
              <w:left w:w="40" w:type="dxa"/>
              <w:bottom w:w="40" w:type="dxa"/>
              <w:right w:w="40" w:type="dxa"/>
            </w:tcMar>
          </w:tcPr>
          <w:p w14:paraId="3750F33C"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Total debt</w:t>
            </w:r>
          </w:p>
        </w:tc>
        <w:tc>
          <w:tcPr>
            <w:tcW w:w="0" w:type="auto"/>
            <w:shd w:val="clear" w:color="auto" w:fill="auto"/>
            <w:tcMar>
              <w:top w:w="40" w:type="dxa"/>
              <w:left w:w="40" w:type="dxa"/>
              <w:bottom w:w="40" w:type="dxa"/>
              <w:right w:w="40" w:type="dxa"/>
            </w:tcMar>
            <w:vAlign w:val="bottom"/>
          </w:tcPr>
          <w:p w14:paraId="3750F33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33E"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F33F"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39,919</w:t>
            </w:r>
          </w:p>
        </w:tc>
        <w:tc>
          <w:tcPr>
            <w:tcW w:w="0" w:type="auto"/>
            <w:shd w:val="clear" w:color="auto" w:fill="auto"/>
            <w:vAlign w:val="bottom"/>
          </w:tcPr>
          <w:p w14:paraId="3750F340"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34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342"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F343"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29,001</w:t>
            </w:r>
          </w:p>
        </w:tc>
        <w:tc>
          <w:tcPr>
            <w:tcW w:w="0" w:type="auto"/>
            <w:shd w:val="clear" w:color="auto" w:fill="auto"/>
            <w:vAlign w:val="bottom"/>
          </w:tcPr>
          <w:p w14:paraId="3750F344" w14:textId="77777777" w:rsidR="002541AD" w:rsidRDefault="002541AD">
            <w:pPr>
              <w:textAlignment w:val="bottom"/>
              <w:rPr>
                <w:rFonts w:ascii="Times New Roman" w:hAnsi="Times New Roman"/>
                <w:sz w:val="20"/>
                <w:szCs w:val="20"/>
              </w:rPr>
            </w:pPr>
          </w:p>
        </w:tc>
      </w:tr>
      <w:tr w:rsidR="002541AD" w14:paraId="3750F34F" w14:textId="77777777">
        <w:tc>
          <w:tcPr>
            <w:tcW w:w="0" w:type="auto"/>
            <w:shd w:val="clear" w:color="auto" w:fill="auto"/>
            <w:tcMar>
              <w:top w:w="40" w:type="dxa"/>
              <w:left w:w="40" w:type="dxa"/>
              <w:bottom w:w="40" w:type="dxa"/>
              <w:right w:w="40" w:type="dxa"/>
            </w:tcMar>
          </w:tcPr>
          <w:p w14:paraId="3750F346"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Temporary equity</w:t>
            </w:r>
          </w:p>
        </w:tc>
        <w:tc>
          <w:tcPr>
            <w:tcW w:w="0" w:type="auto"/>
            <w:shd w:val="clear" w:color="auto" w:fill="auto"/>
            <w:tcMar>
              <w:top w:w="40" w:type="dxa"/>
              <w:left w:w="40" w:type="dxa"/>
              <w:bottom w:w="40" w:type="dxa"/>
              <w:right w:w="40" w:type="dxa"/>
            </w:tcMar>
            <w:vAlign w:val="bottom"/>
          </w:tcPr>
          <w:p w14:paraId="3750F34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348"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F349"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vAlign w:val="bottom"/>
          </w:tcPr>
          <w:p w14:paraId="3750F34A"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34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34C"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F34D"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155</w:t>
            </w:r>
          </w:p>
        </w:tc>
        <w:tc>
          <w:tcPr>
            <w:tcW w:w="0" w:type="auto"/>
            <w:shd w:val="clear" w:color="auto" w:fill="auto"/>
            <w:vAlign w:val="bottom"/>
          </w:tcPr>
          <w:p w14:paraId="3750F34E" w14:textId="77777777" w:rsidR="002541AD" w:rsidRDefault="002541AD">
            <w:pPr>
              <w:textAlignment w:val="bottom"/>
              <w:rPr>
                <w:rFonts w:ascii="Times New Roman" w:hAnsi="Times New Roman"/>
                <w:sz w:val="20"/>
                <w:szCs w:val="20"/>
              </w:rPr>
            </w:pPr>
          </w:p>
        </w:tc>
      </w:tr>
      <w:tr w:rsidR="002541AD" w14:paraId="3750F357" w14:textId="77777777">
        <w:tc>
          <w:tcPr>
            <w:tcW w:w="0" w:type="auto"/>
            <w:shd w:val="clear" w:color="auto" w:fill="auto"/>
            <w:tcMar>
              <w:top w:w="40" w:type="dxa"/>
              <w:left w:w="40" w:type="dxa"/>
              <w:bottom w:w="40" w:type="dxa"/>
              <w:right w:w="40" w:type="dxa"/>
            </w:tcMar>
          </w:tcPr>
          <w:p w14:paraId="3750F350"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 xml:space="preserve">Debt as percentage of </w:t>
            </w:r>
            <w:r>
              <w:rPr>
                <w:rFonts w:ascii="Arial" w:eastAsia="宋体" w:hAnsi="Arial" w:cs="Arial"/>
                <w:color w:val="333333"/>
                <w:sz w:val="18"/>
                <w:szCs w:val="18"/>
              </w:rPr>
              <w:t>permanent stockholders’ equity</w:t>
            </w:r>
          </w:p>
        </w:tc>
        <w:tc>
          <w:tcPr>
            <w:tcW w:w="0" w:type="auto"/>
            <w:shd w:val="clear" w:color="auto" w:fill="auto"/>
            <w:tcMar>
              <w:top w:w="40" w:type="dxa"/>
              <w:left w:w="40" w:type="dxa"/>
              <w:bottom w:w="40" w:type="dxa"/>
              <w:right w:w="40" w:type="dxa"/>
            </w:tcMar>
            <w:vAlign w:val="bottom"/>
          </w:tcPr>
          <w:p w14:paraId="3750F35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352"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52.3</w:t>
            </w:r>
          </w:p>
        </w:tc>
        <w:tc>
          <w:tcPr>
            <w:tcW w:w="0" w:type="auto"/>
            <w:shd w:val="clear" w:color="auto" w:fill="auto"/>
            <w:tcMar>
              <w:top w:w="40" w:type="dxa"/>
              <w:bottom w:w="40" w:type="dxa"/>
              <w:right w:w="40" w:type="dxa"/>
            </w:tcMar>
            <w:vAlign w:val="bottom"/>
          </w:tcPr>
          <w:p w14:paraId="3750F353"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F35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355"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37.4</w:t>
            </w:r>
          </w:p>
        </w:tc>
        <w:tc>
          <w:tcPr>
            <w:tcW w:w="0" w:type="auto"/>
            <w:shd w:val="clear" w:color="auto" w:fill="auto"/>
            <w:tcMar>
              <w:top w:w="40" w:type="dxa"/>
              <w:bottom w:w="40" w:type="dxa"/>
              <w:right w:w="40" w:type="dxa"/>
            </w:tcMar>
            <w:vAlign w:val="bottom"/>
          </w:tcPr>
          <w:p w14:paraId="3750F356"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bl>
    <w:p w14:paraId="3750F358"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Cash generated by operations is our primary source of liquidity. When assessing our sources of liquidity, we include investments as shown in the preceding table. We maintain a diverse investment </w:t>
      </w:r>
      <w:r>
        <w:rPr>
          <w:rFonts w:ascii="Arial" w:eastAsia="宋体" w:hAnsi="Arial" w:cs="Arial"/>
          <w:color w:val="333333"/>
          <w:sz w:val="18"/>
          <w:szCs w:val="18"/>
        </w:rPr>
        <w:t>portfolio that we continually analyze based on issuer, industry, and country. Substantially all of our investments in debt instruments and financing receivables are in investment-grade securities.</w:t>
      </w:r>
    </w:p>
    <w:p w14:paraId="3750F359"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Other potential sources of liquidity include our commercial</w:t>
      </w:r>
      <w:r>
        <w:rPr>
          <w:rFonts w:ascii="Arial" w:eastAsia="宋体" w:hAnsi="Arial" w:cs="Arial"/>
          <w:color w:val="333333"/>
          <w:sz w:val="18"/>
          <w:szCs w:val="18"/>
        </w:rPr>
        <w:t xml:space="preserve"> paper program and our automatic shelf registration statement on file with the SEC, pursuant to which we may offer an unspecified amount of debt, equity, and other securities. Under our commercial paper program, we have an ongoing authorization from our Bo</w:t>
      </w:r>
      <w:r>
        <w:rPr>
          <w:rFonts w:ascii="Arial" w:eastAsia="宋体" w:hAnsi="Arial" w:cs="Arial"/>
          <w:color w:val="333333"/>
          <w:sz w:val="18"/>
          <w:szCs w:val="18"/>
        </w:rPr>
        <w:t xml:space="preserve">ard of Directors to borrow up to $10.0 billion. As of March 28, 2020, we had no outstanding commercial paper. </w:t>
      </w:r>
    </w:p>
    <w:p w14:paraId="3750F35A" w14:textId="77777777" w:rsidR="002541AD" w:rsidRDefault="00901AA6">
      <w:pPr>
        <w:spacing w:line="288" w:lineRule="auto"/>
        <w:rPr>
          <w:rFonts w:ascii="Times New Roman" w:hAnsi="Times New Roman"/>
          <w:sz w:val="20"/>
          <w:szCs w:val="20"/>
        </w:rPr>
      </w:pPr>
      <w:r>
        <w:rPr>
          <w:rFonts w:ascii="Arial" w:eastAsia="宋体" w:hAnsi="Arial" w:cs="Arial"/>
          <w:color w:val="333333"/>
          <w:sz w:val="18"/>
          <w:szCs w:val="18"/>
        </w:rPr>
        <w:t>We believe we have sufficient financial resources to meet our business requirements in the next 12 months, including capital expenditures for wor</w:t>
      </w:r>
      <w:r>
        <w:rPr>
          <w:rFonts w:ascii="Arial" w:eastAsia="宋体" w:hAnsi="Arial" w:cs="Arial"/>
          <w:color w:val="333333"/>
          <w:sz w:val="18"/>
          <w:szCs w:val="18"/>
        </w:rPr>
        <w:t>ldwide manufacturing and assembly and test; working capital requirements; and potential acquisitions, strategic investments, and dividends. As we enter a period of economic uncertainty, we took actions this quarter that further strengthen our liquidity. Du</w:t>
      </w:r>
      <w:r>
        <w:rPr>
          <w:rFonts w:ascii="Arial" w:eastAsia="宋体" w:hAnsi="Arial" w:cs="Arial"/>
          <w:color w:val="333333"/>
          <w:sz w:val="18"/>
          <w:szCs w:val="18"/>
        </w:rPr>
        <w:t xml:space="preserve">ring the first three months of 2020 we issued a total of $10.3 billion aggregate principal amount of senior notes. Additionally, on March 24, 2020 we suspended the use of our financial resources for stock repurchases, having repurchased approximately $7.6 </w:t>
      </w:r>
      <w:r>
        <w:rPr>
          <w:rFonts w:ascii="Arial" w:eastAsia="宋体" w:hAnsi="Arial" w:cs="Arial"/>
          <w:color w:val="333333"/>
          <w:sz w:val="18"/>
          <w:szCs w:val="18"/>
        </w:rPr>
        <w:t>billion of our planned $20.0 billion</w:t>
      </w:r>
      <w:r>
        <w:rPr>
          <w:rFonts w:ascii="Times New Roman" w:eastAsia="宋体" w:hAnsi="Times New Roman"/>
          <w:color w:val="000000"/>
          <w:sz w:val="20"/>
          <w:szCs w:val="20"/>
        </w:rPr>
        <w:t xml:space="preserve"> </w:t>
      </w:r>
      <w:r>
        <w:rPr>
          <w:rFonts w:ascii="Arial" w:eastAsia="宋体" w:hAnsi="Arial" w:cs="Arial"/>
          <w:color w:val="333333"/>
          <w:sz w:val="18"/>
          <w:szCs w:val="18"/>
        </w:rPr>
        <w:t xml:space="preserve">repurchases announced in October 2019. The suspension of stock repurchases will not impact dividend payments to stockholders and the company has the ability to reinstate stock repurchases as circumstances warrant. </w:t>
      </w:r>
    </w:p>
    <w:tbl>
      <w:tblPr>
        <w:tblW w:w="14040" w:type="dxa"/>
        <w:tblCellMar>
          <w:left w:w="0" w:type="dxa"/>
          <w:right w:w="0" w:type="dxa"/>
        </w:tblCellMar>
        <w:tblLook w:val="04A0" w:firstRow="1" w:lastRow="0" w:firstColumn="1" w:lastColumn="0" w:noHBand="0" w:noVBand="1"/>
      </w:tblPr>
      <w:tblGrid>
        <w:gridCol w:w="503"/>
        <w:gridCol w:w="3817"/>
        <w:gridCol w:w="1044"/>
        <w:gridCol w:w="3816"/>
        <w:gridCol w:w="1044"/>
        <w:gridCol w:w="3816"/>
      </w:tblGrid>
      <w:tr w:rsidR="002541AD" w14:paraId="3750F35C" w14:textId="77777777">
        <w:tc>
          <w:tcPr>
            <w:tcW w:w="0" w:type="auto"/>
            <w:gridSpan w:val="6"/>
            <w:shd w:val="clear" w:color="auto" w:fill="auto"/>
            <w:vAlign w:val="center"/>
          </w:tcPr>
          <w:p w14:paraId="3750F35B" w14:textId="77777777" w:rsidR="002541AD" w:rsidRDefault="002541AD">
            <w:pPr>
              <w:rPr>
                <w:rFonts w:ascii="Times New Roman" w:hAnsi="Times New Roman"/>
                <w:sz w:val="20"/>
                <w:szCs w:val="20"/>
              </w:rPr>
            </w:pPr>
          </w:p>
        </w:tc>
      </w:tr>
      <w:tr w:rsidR="002541AD" w14:paraId="3750F363" w14:textId="77777777">
        <w:tc>
          <w:tcPr>
            <w:tcW w:w="500" w:type="dxa"/>
            <w:shd w:val="clear" w:color="auto" w:fill="auto"/>
            <w:vAlign w:val="center"/>
          </w:tcPr>
          <w:p w14:paraId="3750F35D" w14:textId="77777777" w:rsidR="002541AD" w:rsidRDefault="002541AD">
            <w:pPr>
              <w:rPr>
                <w:rFonts w:ascii="Times New Roman" w:hAnsi="Times New Roman"/>
                <w:sz w:val="20"/>
                <w:szCs w:val="20"/>
              </w:rPr>
            </w:pPr>
          </w:p>
        </w:tc>
        <w:tc>
          <w:tcPr>
            <w:tcW w:w="3800" w:type="dxa"/>
            <w:shd w:val="clear" w:color="auto" w:fill="auto"/>
            <w:vAlign w:val="center"/>
          </w:tcPr>
          <w:p w14:paraId="3750F35E" w14:textId="77777777" w:rsidR="002541AD" w:rsidRDefault="002541AD">
            <w:pPr>
              <w:rPr>
                <w:rFonts w:ascii="Times New Roman" w:hAnsi="Times New Roman"/>
                <w:sz w:val="20"/>
                <w:szCs w:val="20"/>
              </w:rPr>
            </w:pPr>
          </w:p>
        </w:tc>
        <w:tc>
          <w:tcPr>
            <w:tcW w:w="1040" w:type="dxa"/>
            <w:shd w:val="clear" w:color="auto" w:fill="auto"/>
            <w:vAlign w:val="center"/>
          </w:tcPr>
          <w:p w14:paraId="3750F35F" w14:textId="77777777" w:rsidR="002541AD" w:rsidRDefault="002541AD">
            <w:pPr>
              <w:rPr>
                <w:rFonts w:ascii="Times New Roman" w:hAnsi="Times New Roman"/>
                <w:sz w:val="20"/>
                <w:szCs w:val="20"/>
              </w:rPr>
            </w:pPr>
          </w:p>
        </w:tc>
        <w:tc>
          <w:tcPr>
            <w:tcW w:w="3800" w:type="dxa"/>
            <w:shd w:val="clear" w:color="auto" w:fill="auto"/>
            <w:vAlign w:val="center"/>
          </w:tcPr>
          <w:p w14:paraId="3750F360" w14:textId="77777777" w:rsidR="002541AD" w:rsidRDefault="002541AD">
            <w:pPr>
              <w:rPr>
                <w:rFonts w:ascii="Times New Roman" w:hAnsi="Times New Roman"/>
                <w:sz w:val="20"/>
                <w:szCs w:val="20"/>
              </w:rPr>
            </w:pPr>
          </w:p>
        </w:tc>
        <w:tc>
          <w:tcPr>
            <w:tcW w:w="1040" w:type="dxa"/>
            <w:shd w:val="clear" w:color="auto" w:fill="auto"/>
            <w:vAlign w:val="center"/>
          </w:tcPr>
          <w:p w14:paraId="3750F361" w14:textId="77777777" w:rsidR="002541AD" w:rsidRDefault="002541AD">
            <w:pPr>
              <w:rPr>
                <w:rFonts w:ascii="Times New Roman" w:hAnsi="Times New Roman"/>
                <w:sz w:val="20"/>
                <w:szCs w:val="20"/>
              </w:rPr>
            </w:pPr>
          </w:p>
        </w:tc>
        <w:tc>
          <w:tcPr>
            <w:tcW w:w="3800" w:type="dxa"/>
            <w:shd w:val="clear" w:color="auto" w:fill="auto"/>
            <w:vAlign w:val="center"/>
          </w:tcPr>
          <w:p w14:paraId="3750F362" w14:textId="77777777" w:rsidR="002541AD" w:rsidRDefault="002541AD">
            <w:pPr>
              <w:rPr>
                <w:rFonts w:ascii="Times New Roman" w:hAnsi="Times New Roman"/>
                <w:sz w:val="20"/>
                <w:szCs w:val="20"/>
              </w:rPr>
            </w:pPr>
          </w:p>
        </w:tc>
      </w:tr>
      <w:tr w:rsidR="002541AD" w14:paraId="3750F36A" w14:textId="77777777">
        <w:tc>
          <w:tcPr>
            <w:tcW w:w="0" w:type="auto"/>
            <w:shd w:val="clear" w:color="auto" w:fill="auto"/>
            <w:tcMar>
              <w:top w:w="40" w:type="dxa"/>
              <w:left w:w="40" w:type="dxa"/>
              <w:bottom w:w="40" w:type="dxa"/>
              <w:right w:w="40" w:type="dxa"/>
            </w:tcMar>
            <w:vAlign w:val="bottom"/>
          </w:tcPr>
          <w:p w14:paraId="3750F36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3750F365" w14:textId="77777777" w:rsidR="002541AD" w:rsidRDefault="00901AA6">
            <w:pPr>
              <w:jc w:val="center"/>
              <w:textAlignment w:val="bottom"/>
              <w:rPr>
                <w:rFonts w:ascii="Times New Roman" w:hAnsi="Times New Roman"/>
                <w:sz w:val="18"/>
                <w:szCs w:val="18"/>
              </w:rPr>
            </w:pPr>
            <w:r>
              <w:rPr>
                <w:rFonts w:ascii="Arial" w:eastAsia="宋体" w:hAnsi="Arial" w:cs="Arial"/>
                <w:b/>
                <w:bCs/>
                <w:color w:val="0071C5"/>
                <w:sz w:val="18"/>
                <w:szCs w:val="18"/>
              </w:rPr>
              <w:t>CASH FROM OPERATIONS $B</w:t>
            </w:r>
          </w:p>
        </w:tc>
        <w:tc>
          <w:tcPr>
            <w:tcW w:w="0" w:type="auto"/>
            <w:shd w:val="clear" w:color="auto" w:fill="auto"/>
            <w:tcMar>
              <w:top w:w="40" w:type="dxa"/>
              <w:left w:w="40" w:type="dxa"/>
              <w:bottom w:w="40" w:type="dxa"/>
              <w:right w:w="40" w:type="dxa"/>
            </w:tcMar>
            <w:vAlign w:val="bottom"/>
          </w:tcPr>
          <w:p w14:paraId="3750F36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3750F367" w14:textId="77777777" w:rsidR="002541AD" w:rsidRDefault="00901AA6">
            <w:pPr>
              <w:jc w:val="center"/>
              <w:textAlignment w:val="bottom"/>
              <w:rPr>
                <w:rFonts w:ascii="Times New Roman" w:hAnsi="Times New Roman"/>
                <w:sz w:val="18"/>
                <w:szCs w:val="18"/>
              </w:rPr>
            </w:pPr>
            <w:r>
              <w:rPr>
                <w:rFonts w:ascii="Arial" w:eastAsia="宋体" w:hAnsi="Arial" w:cs="Arial"/>
                <w:b/>
                <w:bCs/>
                <w:color w:val="0071C5"/>
                <w:sz w:val="18"/>
                <w:szCs w:val="18"/>
              </w:rPr>
              <w:t>CAPITAL EXPENDITURES $B</w:t>
            </w:r>
          </w:p>
        </w:tc>
        <w:tc>
          <w:tcPr>
            <w:tcW w:w="0" w:type="auto"/>
            <w:shd w:val="clear" w:color="auto" w:fill="auto"/>
            <w:tcMar>
              <w:top w:w="40" w:type="dxa"/>
              <w:left w:w="40" w:type="dxa"/>
              <w:bottom w:w="40" w:type="dxa"/>
              <w:right w:w="40" w:type="dxa"/>
            </w:tcMar>
            <w:vAlign w:val="bottom"/>
          </w:tcPr>
          <w:p w14:paraId="3750F36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3750F369" w14:textId="77777777" w:rsidR="002541AD" w:rsidRDefault="00901AA6">
            <w:pPr>
              <w:jc w:val="center"/>
              <w:textAlignment w:val="bottom"/>
              <w:rPr>
                <w:rFonts w:ascii="Times New Roman" w:hAnsi="Times New Roman"/>
                <w:sz w:val="18"/>
                <w:szCs w:val="18"/>
              </w:rPr>
            </w:pPr>
            <w:r>
              <w:rPr>
                <w:rFonts w:ascii="Arial" w:eastAsia="宋体" w:hAnsi="Arial" w:cs="Arial"/>
                <w:b/>
                <w:bCs/>
                <w:color w:val="0071C5"/>
                <w:sz w:val="18"/>
                <w:szCs w:val="18"/>
              </w:rPr>
              <w:t>CASH TO STOCKHOLDERS $B</w:t>
            </w:r>
          </w:p>
        </w:tc>
      </w:tr>
    </w:tbl>
    <w:p w14:paraId="3750F36B" w14:textId="77777777" w:rsidR="002541AD" w:rsidRDefault="00901AA6">
      <w:pPr>
        <w:spacing w:line="288" w:lineRule="auto"/>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Viewer11_files/cash_frmops.jpg"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3750F8C6" wp14:editId="3750F8C7">
            <wp:extent cx="304800" cy="304800"/>
            <wp:effectExtent l="0" t="0" r="0" b="0"/>
            <wp:docPr id="15" name="图片 12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5" descr="IMG_31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/INTEL/./Inline XBRL Viewer11_files/capex_.jpg" \*</w:instrText>
      </w:r>
      <w:r>
        <w:rPr>
          <w:rFonts w:ascii="Times New Roman" w:eastAsia="宋体" w:hAnsi="Times New Roman"/>
          <w:sz w:val="20"/>
          <w:szCs w:val="20"/>
        </w:rPr>
        <w:instrText xml:space="preserve">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3750F8C8" wp14:editId="3750F8C9">
            <wp:extent cx="304800" cy="304800"/>
            <wp:effectExtent l="0" t="0" r="0" b="0"/>
            <wp:docPr id="21" name="图片 12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6" descr="IMG_31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/INTEL/./Inline XBRL Viewer11_files/cashtosh.jpg"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3750F8CA" wp14:editId="3750F8CB">
            <wp:extent cx="304800" cy="304800"/>
            <wp:effectExtent l="0" t="0" r="0" b="0"/>
            <wp:docPr id="11" name="图片 12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7" descr="IMG_31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14660" w:type="dxa"/>
        <w:tblCellMar>
          <w:left w:w="0" w:type="dxa"/>
          <w:right w:w="0" w:type="dxa"/>
        </w:tblCellMar>
        <w:tblLook w:val="04A0" w:firstRow="1" w:lastRow="0" w:firstColumn="1" w:lastColumn="0" w:noHBand="0" w:noVBand="1"/>
      </w:tblPr>
      <w:tblGrid>
        <w:gridCol w:w="4782"/>
        <w:gridCol w:w="131"/>
        <w:gridCol w:w="4783"/>
        <w:gridCol w:w="181"/>
        <w:gridCol w:w="4783"/>
      </w:tblGrid>
      <w:tr w:rsidR="002541AD" w14:paraId="3750F36D" w14:textId="77777777">
        <w:tc>
          <w:tcPr>
            <w:tcW w:w="0" w:type="auto"/>
            <w:gridSpan w:val="5"/>
            <w:shd w:val="clear" w:color="auto" w:fill="auto"/>
            <w:vAlign w:val="center"/>
          </w:tcPr>
          <w:p w14:paraId="3750F36C" w14:textId="77777777" w:rsidR="002541AD" w:rsidRDefault="002541AD">
            <w:pPr>
              <w:rPr>
                <w:rFonts w:ascii="Times New Roman" w:hAnsi="Times New Roman"/>
                <w:sz w:val="20"/>
                <w:szCs w:val="20"/>
              </w:rPr>
            </w:pPr>
          </w:p>
        </w:tc>
      </w:tr>
      <w:tr w:rsidR="002541AD" w14:paraId="3750F373" w14:textId="77777777">
        <w:tc>
          <w:tcPr>
            <w:tcW w:w="4760" w:type="dxa"/>
            <w:shd w:val="clear" w:color="auto" w:fill="auto"/>
            <w:vAlign w:val="center"/>
          </w:tcPr>
          <w:p w14:paraId="3750F36E" w14:textId="77777777" w:rsidR="002541AD" w:rsidRDefault="002541AD">
            <w:pPr>
              <w:rPr>
                <w:rFonts w:ascii="Times New Roman" w:hAnsi="Times New Roman"/>
                <w:sz w:val="20"/>
                <w:szCs w:val="20"/>
              </w:rPr>
            </w:pPr>
          </w:p>
        </w:tc>
        <w:tc>
          <w:tcPr>
            <w:tcW w:w="120" w:type="dxa"/>
            <w:shd w:val="clear" w:color="auto" w:fill="auto"/>
            <w:vAlign w:val="center"/>
          </w:tcPr>
          <w:p w14:paraId="3750F36F" w14:textId="77777777" w:rsidR="002541AD" w:rsidRDefault="002541AD">
            <w:pPr>
              <w:rPr>
                <w:rFonts w:ascii="Times New Roman" w:hAnsi="Times New Roman"/>
                <w:sz w:val="20"/>
                <w:szCs w:val="20"/>
              </w:rPr>
            </w:pPr>
          </w:p>
        </w:tc>
        <w:tc>
          <w:tcPr>
            <w:tcW w:w="4760" w:type="dxa"/>
            <w:shd w:val="clear" w:color="auto" w:fill="auto"/>
            <w:vAlign w:val="center"/>
          </w:tcPr>
          <w:p w14:paraId="3750F370" w14:textId="77777777" w:rsidR="002541AD" w:rsidRDefault="002541AD">
            <w:pPr>
              <w:rPr>
                <w:rFonts w:ascii="Times New Roman" w:hAnsi="Times New Roman"/>
                <w:sz w:val="20"/>
                <w:szCs w:val="20"/>
              </w:rPr>
            </w:pPr>
          </w:p>
        </w:tc>
        <w:tc>
          <w:tcPr>
            <w:tcW w:w="180" w:type="dxa"/>
            <w:shd w:val="clear" w:color="auto" w:fill="auto"/>
            <w:vAlign w:val="center"/>
          </w:tcPr>
          <w:p w14:paraId="3750F371" w14:textId="77777777" w:rsidR="002541AD" w:rsidRDefault="002541AD">
            <w:pPr>
              <w:rPr>
                <w:rFonts w:ascii="Times New Roman" w:hAnsi="Times New Roman"/>
                <w:sz w:val="20"/>
                <w:szCs w:val="20"/>
              </w:rPr>
            </w:pPr>
          </w:p>
        </w:tc>
        <w:tc>
          <w:tcPr>
            <w:tcW w:w="4760" w:type="dxa"/>
            <w:shd w:val="clear" w:color="auto" w:fill="auto"/>
            <w:vAlign w:val="center"/>
          </w:tcPr>
          <w:p w14:paraId="3750F372" w14:textId="77777777" w:rsidR="002541AD" w:rsidRDefault="002541AD">
            <w:pPr>
              <w:rPr>
                <w:rFonts w:ascii="Times New Roman" w:hAnsi="Times New Roman"/>
                <w:sz w:val="20"/>
                <w:szCs w:val="20"/>
              </w:rPr>
            </w:pPr>
          </w:p>
        </w:tc>
      </w:tr>
      <w:tr w:rsidR="002541AD" w14:paraId="3750F379" w14:textId="77777777">
        <w:tc>
          <w:tcPr>
            <w:tcW w:w="0" w:type="auto"/>
            <w:shd w:val="clear" w:color="auto" w:fill="auto"/>
            <w:tcMar>
              <w:top w:w="40" w:type="dxa"/>
              <w:left w:w="40" w:type="dxa"/>
              <w:bottom w:w="40" w:type="dxa"/>
              <w:right w:w="40" w:type="dxa"/>
            </w:tcMar>
            <w:vAlign w:val="bottom"/>
          </w:tcPr>
          <w:p w14:paraId="3750F37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37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37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37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3750F378" w14:textId="77777777" w:rsidR="002541AD" w:rsidRDefault="00901AA6">
            <w:pPr>
              <w:jc w:val="center"/>
              <w:textAlignment w:val="center"/>
              <w:rPr>
                <w:rFonts w:ascii="Times New Roman" w:hAnsi="Times New Roman"/>
                <w:sz w:val="16"/>
                <w:szCs w:val="16"/>
              </w:rPr>
            </w:pPr>
            <w:r>
              <w:rPr>
                <w:rFonts w:ascii="Arial" w:eastAsia="宋体" w:hAnsi="Arial" w:cs="Arial"/>
                <w:color w:val="003C71"/>
                <w:sz w:val="16"/>
                <w:szCs w:val="16"/>
              </w:rPr>
              <w:t>■</w:t>
            </w:r>
            <w:r>
              <w:rPr>
                <w:rFonts w:ascii="Arial" w:eastAsia="宋体" w:hAnsi="Arial" w:cs="Arial"/>
                <w:color w:val="0071C5"/>
                <w:sz w:val="16"/>
                <w:szCs w:val="16"/>
              </w:rPr>
              <w:t> </w:t>
            </w:r>
            <w:r>
              <w:rPr>
                <w:rFonts w:ascii="Arial" w:eastAsia="宋体" w:hAnsi="Arial" w:cs="Arial"/>
                <w:color w:val="333333"/>
                <w:sz w:val="16"/>
                <w:szCs w:val="16"/>
              </w:rPr>
              <w:t xml:space="preserve">Dividends </w:t>
            </w:r>
            <w:r>
              <w:rPr>
                <w:rFonts w:ascii="Arial" w:eastAsia="宋体" w:hAnsi="Arial" w:cs="Arial"/>
                <w:color w:val="0094FF"/>
                <w:sz w:val="16"/>
                <w:szCs w:val="16"/>
              </w:rPr>
              <w:t>■</w:t>
            </w:r>
            <w:r>
              <w:rPr>
                <w:rFonts w:ascii="Arial" w:eastAsia="宋体" w:hAnsi="Arial" w:cs="Arial"/>
                <w:color w:val="333333"/>
                <w:sz w:val="16"/>
                <w:szCs w:val="16"/>
              </w:rPr>
              <w:t> Buybacks</w:t>
            </w:r>
          </w:p>
        </w:tc>
      </w:tr>
    </w:tbl>
    <w:p w14:paraId="3750F37A" w14:textId="77777777" w:rsidR="002541AD" w:rsidRDefault="002541AD">
      <w:pPr>
        <w:rPr>
          <w:vanish/>
        </w:rPr>
      </w:pPr>
    </w:p>
    <w:tbl>
      <w:tblPr>
        <w:tblW w:w="5000" w:type="pct"/>
        <w:tblCellMar>
          <w:left w:w="0" w:type="dxa"/>
          <w:right w:w="0" w:type="dxa"/>
        </w:tblCellMar>
        <w:tblLook w:val="04A0" w:firstRow="1" w:lastRow="0" w:firstColumn="1" w:lastColumn="0" w:noHBand="0" w:noVBand="1"/>
      </w:tblPr>
      <w:tblGrid>
        <w:gridCol w:w="6063"/>
        <w:gridCol w:w="130"/>
        <w:gridCol w:w="142"/>
        <w:gridCol w:w="748"/>
        <w:gridCol w:w="101"/>
        <w:gridCol w:w="130"/>
        <w:gridCol w:w="142"/>
        <w:gridCol w:w="749"/>
        <w:gridCol w:w="101"/>
      </w:tblGrid>
      <w:tr w:rsidR="002541AD" w14:paraId="3750F37C" w14:textId="77777777">
        <w:tc>
          <w:tcPr>
            <w:tcW w:w="0" w:type="auto"/>
            <w:gridSpan w:val="9"/>
            <w:shd w:val="clear" w:color="auto" w:fill="auto"/>
            <w:vAlign w:val="center"/>
          </w:tcPr>
          <w:p w14:paraId="3750F37B" w14:textId="77777777" w:rsidR="002541AD" w:rsidRDefault="002541AD">
            <w:pPr>
              <w:rPr>
                <w:rFonts w:ascii="Times New Roman" w:hAnsi="Times New Roman"/>
                <w:sz w:val="20"/>
                <w:szCs w:val="20"/>
              </w:rPr>
            </w:pPr>
          </w:p>
        </w:tc>
      </w:tr>
      <w:tr w:rsidR="002541AD" w14:paraId="3750F386" w14:textId="77777777">
        <w:tc>
          <w:tcPr>
            <w:tcW w:w="3700" w:type="pct"/>
            <w:shd w:val="clear" w:color="auto" w:fill="auto"/>
            <w:vAlign w:val="center"/>
          </w:tcPr>
          <w:p w14:paraId="3750F37D" w14:textId="77777777" w:rsidR="002541AD" w:rsidRDefault="002541AD">
            <w:pPr>
              <w:rPr>
                <w:rFonts w:ascii="Times New Roman" w:hAnsi="Times New Roman"/>
                <w:sz w:val="20"/>
                <w:szCs w:val="20"/>
              </w:rPr>
            </w:pPr>
          </w:p>
        </w:tc>
        <w:tc>
          <w:tcPr>
            <w:tcW w:w="50" w:type="pct"/>
            <w:shd w:val="clear" w:color="auto" w:fill="auto"/>
            <w:vAlign w:val="center"/>
          </w:tcPr>
          <w:p w14:paraId="3750F37E" w14:textId="77777777" w:rsidR="002541AD" w:rsidRDefault="002541AD">
            <w:pPr>
              <w:rPr>
                <w:rFonts w:ascii="Times New Roman" w:hAnsi="Times New Roman"/>
                <w:sz w:val="20"/>
                <w:szCs w:val="20"/>
              </w:rPr>
            </w:pPr>
          </w:p>
        </w:tc>
        <w:tc>
          <w:tcPr>
            <w:tcW w:w="50" w:type="pct"/>
            <w:shd w:val="clear" w:color="auto" w:fill="auto"/>
            <w:vAlign w:val="center"/>
          </w:tcPr>
          <w:p w14:paraId="3750F37F" w14:textId="77777777" w:rsidR="002541AD" w:rsidRDefault="002541AD">
            <w:pPr>
              <w:rPr>
                <w:rFonts w:ascii="Times New Roman" w:hAnsi="Times New Roman"/>
                <w:sz w:val="20"/>
                <w:szCs w:val="20"/>
              </w:rPr>
            </w:pPr>
          </w:p>
        </w:tc>
        <w:tc>
          <w:tcPr>
            <w:tcW w:w="500" w:type="pct"/>
            <w:shd w:val="clear" w:color="auto" w:fill="auto"/>
            <w:vAlign w:val="center"/>
          </w:tcPr>
          <w:p w14:paraId="3750F380" w14:textId="77777777" w:rsidR="002541AD" w:rsidRDefault="002541AD">
            <w:pPr>
              <w:rPr>
                <w:rFonts w:ascii="Times New Roman" w:hAnsi="Times New Roman"/>
                <w:sz w:val="20"/>
                <w:szCs w:val="20"/>
              </w:rPr>
            </w:pPr>
          </w:p>
        </w:tc>
        <w:tc>
          <w:tcPr>
            <w:tcW w:w="50" w:type="pct"/>
            <w:shd w:val="clear" w:color="auto" w:fill="auto"/>
            <w:vAlign w:val="center"/>
          </w:tcPr>
          <w:p w14:paraId="3750F381" w14:textId="77777777" w:rsidR="002541AD" w:rsidRDefault="002541AD">
            <w:pPr>
              <w:rPr>
                <w:rFonts w:ascii="Times New Roman" w:hAnsi="Times New Roman"/>
                <w:sz w:val="20"/>
                <w:szCs w:val="20"/>
              </w:rPr>
            </w:pPr>
          </w:p>
        </w:tc>
        <w:tc>
          <w:tcPr>
            <w:tcW w:w="50" w:type="pct"/>
            <w:shd w:val="clear" w:color="auto" w:fill="auto"/>
            <w:vAlign w:val="center"/>
          </w:tcPr>
          <w:p w14:paraId="3750F382" w14:textId="77777777" w:rsidR="002541AD" w:rsidRDefault="002541AD">
            <w:pPr>
              <w:rPr>
                <w:rFonts w:ascii="Times New Roman" w:hAnsi="Times New Roman"/>
                <w:sz w:val="20"/>
                <w:szCs w:val="20"/>
              </w:rPr>
            </w:pPr>
          </w:p>
        </w:tc>
        <w:tc>
          <w:tcPr>
            <w:tcW w:w="50" w:type="pct"/>
            <w:shd w:val="clear" w:color="auto" w:fill="auto"/>
            <w:vAlign w:val="center"/>
          </w:tcPr>
          <w:p w14:paraId="3750F383" w14:textId="77777777" w:rsidR="002541AD" w:rsidRDefault="002541AD">
            <w:pPr>
              <w:rPr>
                <w:rFonts w:ascii="Times New Roman" w:hAnsi="Times New Roman"/>
                <w:sz w:val="20"/>
                <w:szCs w:val="20"/>
              </w:rPr>
            </w:pPr>
          </w:p>
        </w:tc>
        <w:tc>
          <w:tcPr>
            <w:tcW w:w="500" w:type="pct"/>
            <w:shd w:val="clear" w:color="auto" w:fill="auto"/>
            <w:vAlign w:val="center"/>
          </w:tcPr>
          <w:p w14:paraId="3750F384" w14:textId="77777777" w:rsidR="002541AD" w:rsidRDefault="002541AD">
            <w:pPr>
              <w:rPr>
                <w:rFonts w:ascii="Times New Roman" w:hAnsi="Times New Roman"/>
                <w:sz w:val="20"/>
                <w:szCs w:val="20"/>
              </w:rPr>
            </w:pPr>
          </w:p>
        </w:tc>
        <w:tc>
          <w:tcPr>
            <w:tcW w:w="50" w:type="pct"/>
            <w:shd w:val="clear" w:color="auto" w:fill="auto"/>
            <w:vAlign w:val="center"/>
          </w:tcPr>
          <w:p w14:paraId="3750F385" w14:textId="77777777" w:rsidR="002541AD" w:rsidRDefault="002541AD">
            <w:pPr>
              <w:rPr>
                <w:rFonts w:ascii="Times New Roman" w:hAnsi="Times New Roman"/>
                <w:sz w:val="20"/>
                <w:szCs w:val="20"/>
              </w:rPr>
            </w:pPr>
          </w:p>
        </w:tc>
      </w:tr>
      <w:tr w:rsidR="002541AD" w14:paraId="3750F38A" w14:textId="77777777">
        <w:tc>
          <w:tcPr>
            <w:tcW w:w="0" w:type="auto"/>
            <w:shd w:val="clear" w:color="auto" w:fill="auto"/>
            <w:tcMar>
              <w:top w:w="40" w:type="dxa"/>
              <w:left w:w="40" w:type="dxa"/>
              <w:bottom w:w="40" w:type="dxa"/>
              <w:right w:w="40" w:type="dxa"/>
            </w:tcMar>
            <w:vAlign w:val="bottom"/>
          </w:tcPr>
          <w:p w14:paraId="3750F38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38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3750F389"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Three Months Ended</w:t>
            </w:r>
          </w:p>
        </w:tc>
      </w:tr>
      <w:tr w:rsidR="002541AD" w14:paraId="3750F390"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F38B"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 xml:space="preserve">(In </w:t>
            </w:r>
            <w:r>
              <w:rPr>
                <w:rFonts w:ascii="Arial" w:eastAsia="宋体" w:hAnsi="Arial" w:cs="Arial"/>
                <w:b/>
                <w:bCs/>
                <w:color w:val="333333"/>
                <w:sz w:val="18"/>
                <w:szCs w:val="18"/>
              </w:rPr>
              <w:t>Millions)</w:t>
            </w:r>
          </w:p>
        </w:tc>
        <w:tc>
          <w:tcPr>
            <w:tcW w:w="0" w:type="auto"/>
            <w:shd w:val="clear" w:color="auto" w:fill="auto"/>
            <w:tcMar>
              <w:top w:w="40" w:type="dxa"/>
              <w:left w:w="40" w:type="dxa"/>
              <w:bottom w:w="40" w:type="dxa"/>
              <w:right w:w="40" w:type="dxa"/>
            </w:tcMar>
            <w:vAlign w:val="bottom"/>
          </w:tcPr>
          <w:p w14:paraId="3750F38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F38D"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c>
          <w:tcPr>
            <w:tcW w:w="0" w:type="auto"/>
            <w:shd w:val="clear" w:color="auto" w:fill="auto"/>
            <w:tcMar>
              <w:top w:w="40" w:type="dxa"/>
              <w:left w:w="40" w:type="dxa"/>
              <w:bottom w:w="40" w:type="dxa"/>
              <w:right w:w="40" w:type="dxa"/>
            </w:tcMar>
            <w:vAlign w:val="bottom"/>
          </w:tcPr>
          <w:p w14:paraId="3750F38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F38F"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30, </w:t>
            </w:r>
            <w:r>
              <w:rPr>
                <w:rFonts w:ascii="Arial" w:eastAsia="宋体" w:hAnsi="Arial" w:cs="Arial"/>
                <w:b/>
                <w:bCs/>
                <w:color w:val="333333"/>
                <w:sz w:val="18"/>
                <w:szCs w:val="18"/>
              </w:rPr>
              <w:br/>
              <w:t>2019</w:t>
            </w:r>
          </w:p>
        </w:tc>
      </w:tr>
      <w:tr w:rsidR="002541AD" w14:paraId="3750F39A" w14:textId="77777777">
        <w:tc>
          <w:tcPr>
            <w:tcW w:w="0" w:type="auto"/>
            <w:shd w:val="clear" w:color="auto" w:fill="auto"/>
            <w:tcMar>
              <w:top w:w="40" w:type="dxa"/>
              <w:left w:w="40" w:type="dxa"/>
              <w:bottom w:w="40" w:type="dxa"/>
              <w:right w:w="40" w:type="dxa"/>
            </w:tcMar>
          </w:tcPr>
          <w:p w14:paraId="3750F391"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Net cash provided by operating activities</w:t>
            </w:r>
          </w:p>
        </w:tc>
        <w:tc>
          <w:tcPr>
            <w:tcW w:w="0" w:type="auto"/>
            <w:shd w:val="clear" w:color="auto" w:fill="auto"/>
            <w:tcMar>
              <w:top w:w="40" w:type="dxa"/>
              <w:left w:w="40" w:type="dxa"/>
              <w:bottom w:w="40" w:type="dxa"/>
              <w:right w:w="40" w:type="dxa"/>
            </w:tcMar>
            <w:vAlign w:val="bottom"/>
          </w:tcPr>
          <w:p w14:paraId="3750F39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393"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F394"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6,158</w:t>
            </w:r>
          </w:p>
        </w:tc>
        <w:tc>
          <w:tcPr>
            <w:tcW w:w="0" w:type="auto"/>
            <w:shd w:val="clear" w:color="auto" w:fill="auto"/>
            <w:vAlign w:val="bottom"/>
          </w:tcPr>
          <w:p w14:paraId="3750F39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39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397"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F39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4,959</w:t>
            </w:r>
          </w:p>
        </w:tc>
        <w:tc>
          <w:tcPr>
            <w:tcW w:w="0" w:type="auto"/>
            <w:shd w:val="clear" w:color="auto" w:fill="auto"/>
            <w:vAlign w:val="bottom"/>
          </w:tcPr>
          <w:p w14:paraId="3750F399" w14:textId="77777777" w:rsidR="002541AD" w:rsidRDefault="002541AD">
            <w:pPr>
              <w:textAlignment w:val="bottom"/>
              <w:rPr>
                <w:rFonts w:ascii="Times New Roman" w:hAnsi="Times New Roman"/>
                <w:sz w:val="20"/>
                <w:szCs w:val="20"/>
              </w:rPr>
            </w:pPr>
          </w:p>
        </w:tc>
      </w:tr>
      <w:tr w:rsidR="002541AD" w14:paraId="3750F3A2" w14:textId="77777777">
        <w:tc>
          <w:tcPr>
            <w:tcW w:w="0" w:type="auto"/>
            <w:shd w:val="clear" w:color="auto" w:fill="auto"/>
            <w:tcMar>
              <w:top w:w="40" w:type="dxa"/>
              <w:left w:w="40" w:type="dxa"/>
              <w:bottom w:w="40" w:type="dxa"/>
              <w:right w:w="40" w:type="dxa"/>
            </w:tcMar>
          </w:tcPr>
          <w:p w14:paraId="3750F39B"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Net cash used for investing activities</w:t>
            </w:r>
          </w:p>
        </w:tc>
        <w:tc>
          <w:tcPr>
            <w:tcW w:w="0" w:type="auto"/>
            <w:shd w:val="clear" w:color="auto" w:fill="auto"/>
            <w:tcMar>
              <w:top w:w="40" w:type="dxa"/>
              <w:left w:w="40" w:type="dxa"/>
              <w:bottom w:w="40" w:type="dxa"/>
              <w:right w:w="40" w:type="dxa"/>
            </w:tcMar>
            <w:vAlign w:val="bottom"/>
          </w:tcPr>
          <w:p w14:paraId="3750F39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39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(3,736</w:t>
            </w:r>
          </w:p>
        </w:tc>
        <w:tc>
          <w:tcPr>
            <w:tcW w:w="0" w:type="auto"/>
            <w:shd w:val="clear" w:color="auto" w:fill="auto"/>
            <w:tcMar>
              <w:top w:w="40" w:type="dxa"/>
              <w:bottom w:w="40" w:type="dxa"/>
              <w:right w:w="40" w:type="dxa"/>
            </w:tcMar>
            <w:vAlign w:val="bottom"/>
          </w:tcPr>
          <w:p w14:paraId="3750F39E"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F39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3A0"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(2,722</w:t>
            </w:r>
          </w:p>
        </w:tc>
        <w:tc>
          <w:tcPr>
            <w:tcW w:w="0" w:type="auto"/>
            <w:shd w:val="clear" w:color="auto" w:fill="auto"/>
            <w:tcMar>
              <w:top w:w="40" w:type="dxa"/>
              <w:bottom w:w="40" w:type="dxa"/>
              <w:right w:w="40" w:type="dxa"/>
            </w:tcMar>
            <w:vAlign w:val="bottom"/>
          </w:tcPr>
          <w:p w14:paraId="3750F3A1"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F3AA" w14:textId="77777777">
        <w:tc>
          <w:tcPr>
            <w:tcW w:w="0" w:type="auto"/>
            <w:shd w:val="clear" w:color="auto" w:fill="auto"/>
            <w:tcMar>
              <w:top w:w="40" w:type="dxa"/>
              <w:left w:w="40" w:type="dxa"/>
              <w:bottom w:w="40" w:type="dxa"/>
              <w:right w:w="40" w:type="dxa"/>
            </w:tcMar>
          </w:tcPr>
          <w:p w14:paraId="3750F3A3"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Net cash provided by (used for) financing activities</w:t>
            </w:r>
          </w:p>
        </w:tc>
        <w:tc>
          <w:tcPr>
            <w:tcW w:w="0" w:type="auto"/>
            <w:shd w:val="clear" w:color="auto" w:fill="auto"/>
            <w:tcMar>
              <w:top w:w="40" w:type="dxa"/>
              <w:left w:w="40" w:type="dxa"/>
              <w:bottom w:w="40" w:type="dxa"/>
              <w:right w:w="40" w:type="dxa"/>
            </w:tcMar>
            <w:vAlign w:val="bottom"/>
          </w:tcPr>
          <w:p w14:paraId="3750F3A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3A5"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4,764</w:t>
            </w:r>
          </w:p>
        </w:tc>
        <w:tc>
          <w:tcPr>
            <w:tcW w:w="0" w:type="auto"/>
            <w:shd w:val="clear" w:color="auto" w:fill="auto"/>
            <w:vAlign w:val="bottom"/>
          </w:tcPr>
          <w:p w14:paraId="3750F3A6"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3A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3A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(2,102</w:t>
            </w:r>
          </w:p>
        </w:tc>
        <w:tc>
          <w:tcPr>
            <w:tcW w:w="0" w:type="auto"/>
            <w:shd w:val="clear" w:color="auto" w:fill="auto"/>
            <w:tcMar>
              <w:top w:w="40" w:type="dxa"/>
              <w:bottom w:w="40" w:type="dxa"/>
              <w:right w:w="40" w:type="dxa"/>
            </w:tcMar>
            <w:vAlign w:val="bottom"/>
          </w:tcPr>
          <w:p w14:paraId="3750F3A9"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F3B4" w14:textId="77777777">
        <w:tc>
          <w:tcPr>
            <w:tcW w:w="0" w:type="auto"/>
            <w:shd w:val="clear" w:color="auto" w:fill="auto"/>
            <w:tcMar>
              <w:top w:w="40" w:type="dxa"/>
              <w:left w:w="40" w:type="dxa"/>
              <w:bottom w:w="40" w:type="dxa"/>
              <w:right w:w="40" w:type="dxa"/>
            </w:tcMar>
          </w:tcPr>
          <w:p w14:paraId="3750F3AB"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 xml:space="preserve">Net </w:t>
            </w:r>
            <w:r>
              <w:rPr>
                <w:rFonts w:ascii="Arial" w:eastAsia="宋体" w:hAnsi="Arial" w:cs="Arial"/>
                <w:b/>
                <w:bCs/>
                <w:color w:val="333333"/>
                <w:sz w:val="18"/>
                <w:szCs w:val="18"/>
              </w:rPr>
              <w:t>increase (decrease) in cash and cash equivalents</w:t>
            </w:r>
          </w:p>
        </w:tc>
        <w:tc>
          <w:tcPr>
            <w:tcW w:w="0" w:type="auto"/>
            <w:shd w:val="clear" w:color="auto" w:fill="auto"/>
            <w:tcMar>
              <w:top w:w="40" w:type="dxa"/>
              <w:left w:w="40" w:type="dxa"/>
              <w:bottom w:w="40" w:type="dxa"/>
              <w:right w:w="40" w:type="dxa"/>
            </w:tcMar>
            <w:vAlign w:val="bottom"/>
          </w:tcPr>
          <w:p w14:paraId="3750F3A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F3AD"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F3AE"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7,186</w:t>
            </w:r>
          </w:p>
        </w:tc>
        <w:tc>
          <w:tcPr>
            <w:tcW w:w="0" w:type="auto"/>
            <w:tcBorders>
              <w:top w:val="single" w:sz="8" w:space="0" w:color="333333"/>
              <w:bottom w:val="double" w:sz="6" w:space="0" w:color="333333"/>
            </w:tcBorders>
            <w:shd w:val="clear" w:color="auto" w:fill="auto"/>
            <w:vAlign w:val="bottom"/>
          </w:tcPr>
          <w:p w14:paraId="3750F3AF"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3B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F3B1"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F3B2"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135</w:t>
            </w:r>
          </w:p>
        </w:tc>
        <w:tc>
          <w:tcPr>
            <w:tcW w:w="0" w:type="auto"/>
            <w:tcBorders>
              <w:top w:val="single" w:sz="8" w:space="0" w:color="333333"/>
              <w:bottom w:val="double" w:sz="6" w:space="0" w:color="333333"/>
            </w:tcBorders>
            <w:shd w:val="clear" w:color="auto" w:fill="auto"/>
            <w:vAlign w:val="bottom"/>
          </w:tcPr>
          <w:p w14:paraId="3750F3B3" w14:textId="77777777" w:rsidR="002541AD" w:rsidRDefault="002541AD">
            <w:pPr>
              <w:textAlignment w:val="bottom"/>
              <w:rPr>
                <w:rFonts w:ascii="Times New Roman" w:hAnsi="Times New Roman"/>
                <w:sz w:val="20"/>
                <w:szCs w:val="20"/>
              </w:rPr>
            </w:pPr>
          </w:p>
        </w:tc>
      </w:tr>
    </w:tbl>
    <w:p w14:paraId="3750F3B5"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F3B7" w14:textId="77777777">
        <w:tc>
          <w:tcPr>
            <w:tcW w:w="0" w:type="auto"/>
            <w:gridSpan w:val="3"/>
            <w:shd w:val="clear" w:color="auto" w:fill="auto"/>
            <w:vAlign w:val="center"/>
          </w:tcPr>
          <w:p w14:paraId="3750F3B6" w14:textId="77777777" w:rsidR="002541AD" w:rsidRDefault="002541AD">
            <w:pPr>
              <w:rPr>
                <w:rFonts w:ascii="Times New Roman" w:hAnsi="Times New Roman"/>
                <w:sz w:val="20"/>
                <w:szCs w:val="20"/>
              </w:rPr>
            </w:pPr>
          </w:p>
        </w:tc>
      </w:tr>
      <w:tr w:rsidR="002541AD" w14:paraId="3750F3BB" w14:textId="77777777">
        <w:tc>
          <w:tcPr>
            <w:tcW w:w="1550" w:type="pct"/>
            <w:shd w:val="clear" w:color="auto" w:fill="auto"/>
            <w:vAlign w:val="center"/>
          </w:tcPr>
          <w:p w14:paraId="3750F3B8" w14:textId="77777777" w:rsidR="002541AD" w:rsidRDefault="002541AD">
            <w:pPr>
              <w:rPr>
                <w:rFonts w:ascii="Times New Roman" w:hAnsi="Times New Roman"/>
                <w:sz w:val="20"/>
                <w:szCs w:val="20"/>
              </w:rPr>
            </w:pPr>
          </w:p>
        </w:tc>
        <w:tc>
          <w:tcPr>
            <w:tcW w:w="2200" w:type="pct"/>
            <w:shd w:val="clear" w:color="auto" w:fill="auto"/>
            <w:vAlign w:val="center"/>
          </w:tcPr>
          <w:p w14:paraId="3750F3B9" w14:textId="77777777" w:rsidR="002541AD" w:rsidRDefault="002541AD">
            <w:pPr>
              <w:rPr>
                <w:rFonts w:ascii="Times New Roman" w:hAnsi="Times New Roman"/>
                <w:sz w:val="20"/>
                <w:szCs w:val="20"/>
              </w:rPr>
            </w:pPr>
          </w:p>
        </w:tc>
        <w:tc>
          <w:tcPr>
            <w:tcW w:w="1250" w:type="pct"/>
            <w:shd w:val="clear" w:color="auto" w:fill="auto"/>
            <w:vAlign w:val="center"/>
          </w:tcPr>
          <w:p w14:paraId="3750F3BA" w14:textId="77777777" w:rsidR="002541AD" w:rsidRDefault="002541AD">
            <w:pPr>
              <w:rPr>
                <w:rFonts w:ascii="Times New Roman" w:hAnsi="Times New Roman"/>
                <w:sz w:val="20"/>
                <w:szCs w:val="20"/>
              </w:rPr>
            </w:pPr>
          </w:p>
        </w:tc>
      </w:tr>
      <w:tr w:rsidR="002541AD" w14:paraId="3750F3BF"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F3BC"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CC" wp14:editId="3750F8CD">
                  <wp:extent cx="304800" cy="304800"/>
                  <wp:effectExtent l="0" t="0" r="0" b="0"/>
                  <wp:docPr id="85" name="图片 12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28"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3B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3BE"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36</w:t>
            </w:r>
          </w:p>
        </w:tc>
      </w:tr>
    </w:tbl>
    <w:p w14:paraId="3750F3C0" w14:textId="77777777" w:rsidR="002541AD" w:rsidRDefault="002541AD">
      <w:pPr>
        <w:spacing w:line="288" w:lineRule="auto"/>
        <w:rPr>
          <w:rFonts w:ascii="Times New Roman" w:hAnsi="Times New Roman"/>
          <w:sz w:val="18"/>
          <w:szCs w:val="18"/>
        </w:rPr>
      </w:pPr>
    </w:p>
    <w:p w14:paraId="3750F3C1" w14:textId="77777777" w:rsidR="002541AD" w:rsidRDefault="00901AA6">
      <w:r>
        <w:rPr>
          <w:rFonts w:ascii="Times New Roman" w:hAnsi="Times New Roman"/>
          <w:sz w:val="18"/>
          <w:szCs w:val="18"/>
        </w:rPr>
        <w:pict w14:anchorId="3750F8CE">
          <v:rect id="_x0000_i1062" style="width:415.3pt;height:1.5pt" o:hralign="center" o:hrstd="t" o:hr="t" fillcolor="#a0a0a0" stroked="f"/>
        </w:pict>
      </w:r>
    </w:p>
    <w:p w14:paraId="3750F3C2" w14:textId="77777777" w:rsidR="002541AD" w:rsidRDefault="00901AA6">
      <w:pPr>
        <w:spacing w:line="288" w:lineRule="auto"/>
        <w:jc w:val="right"/>
        <w:rPr>
          <w:rFonts w:ascii="Times New Roman" w:hAnsi="Times New Roman"/>
          <w:sz w:val="16"/>
          <w:szCs w:val="16"/>
        </w:rPr>
      </w:pPr>
      <w:hyperlink r:id="rId65" w:anchor="s2CABEAF4222C52B4A34547BF538A8C27" w:history="1">
        <w:r>
          <w:rPr>
            <w:rStyle w:val="a5"/>
            <w:rFonts w:ascii="Arial" w:eastAsia="宋体" w:hAnsi="Arial" w:cs="Arial"/>
            <w:b/>
            <w:bCs/>
            <w:sz w:val="16"/>
            <w:szCs w:val="16"/>
          </w:rPr>
          <w:t>Table of Contents</w:t>
        </w:r>
      </w:hyperlink>
    </w:p>
    <w:p w14:paraId="3750F3C3" w14:textId="77777777" w:rsidR="002541AD" w:rsidRDefault="002541AD">
      <w:pPr>
        <w:spacing w:line="288" w:lineRule="auto"/>
        <w:jc w:val="right"/>
        <w:rPr>
          <w:rFonts w:ascii="Times New Roman" w:hAnsi="Times New Roman"/>
          <w:sz w:val="18"/>
          <w:szCs w:val="18"/>
        </w:rPr>
      </w:pPr>
    </w:p>
    <w:p w14:paraId="3750F3C4" w14:textId="77777777" w:rsidR="002541AD" w:rsidRDefault="002541AD">
      <w:pPr>
        <w:rPr>
          <w:rFonts w:ascii="Times New Roman" w:hAnsi="Times New Roman"/>
          <w:sz w:val="20"/>
          <w:szCs w:val="20"/>
        </w:rPr>
      </w:pPr>
    </w:p>
    <w:p w14:paraId="3750F3C5" w14:textId="77777777" w:rsidR="002541AD" w:rsidRDefault="00901AA6">
      <w:pPr>
        <w:spacing w:line="288" w:lineRule="auto"/>
        <w:rPr>
          <w:rFonts w:ascii="Times New Roman" w:hAnsi="Times New Roman"/>
          <w:sz w:val="20"/>
          <w:szCs w:val="20"/>
        </w:rPr>
      </w:pPr>
      <w:r>
        <w:rPr>
          <w:rFonts w:ascii="Arial" w:eastAsia="宋体" w:hAnsi="Arial" w:cs="Arial"/>
          <w:b/>
          <w:bCs/>
          <w:color w:val="333333"/>
          <w:sz w:val="20"/>
          <w:szCs w:val="20"/>
        </w:rPr>
        <w:t>Operating Activities</w:t>
      </w:r>
    </w:p>
    <w:p w14:paraId="3750F3C6"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Cash provided by operating activities is net income adj</w:t>
      </w:r>
      <w:r>
        <w:rPr>
          <w:rFonts w:ascii="Arial" w:eastAsia="宋体" w:hAnsi="Arial" w:cs="Arial"/>
          <w:color w:val="333333"/>
          <w:sz w:val="18"/>
          <w:szCs w:val="18"/>
        </w:rPr>
        <w:t>usted for certain non-cash items and changes in assets and liabilities.</w:t>
      </w:r>
    </w:p>
    <w:p w14:paraId="3750F3C7"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For the first three months of 2020 compared to the first three months of 2019, the increase in cash provided by operations was due to higher net income offset by changes in working cap</w:t>
      </w:r>
      <w:r>
        <w:rPr>
          <w:rFonts w:ascii="Arial" w:eastAsia="宋体" w:hAnsi="Arial" w:cs="Arial"/>
          <w:color w:val="333333"/>
          <w:sz w:val="18"/>
          <w:szCs w:val="18"/>
        </w:rPr>
        <w:t xml:space="preserve">ital driven by other assets and liabilities and accounts receivable. </w:t>
      </w:r>
    </w:p>
    <w:p w14:paraId="3750F3C8" w14:textId="77777777" w:rsidR="002541AD" w:rsidRDefault="00901AA6">
      <w:pPr>
        <w:spacing w:line="288" w:lineRule="auto"/>
        <w:rPr>
          <w:rFonts w:ascii="Times New Roman" w:hAnsi="Times New Roman"/>
          <w:sz w:val="20"/>
          <w:szCs w:val="20"/>
        </w:rPr>
      </w:pPr>
      <w:r>
        <w:rPr>
          <w:rFonts w:ascii="Arial" w:eastAsia="宋体" w:hAnsi="Arial" w:cs="Arial"/>
          <w:b/>
          <w:bCs/>
          <w:color w:val="333333"/>
          <w:sz w:val="20"/>
          <w:szCs w:val="20"/>
        </w:rPr>
        <w:t>Investing Activities</w:t>
      </w:r>
    </w:p>
    <w:p w14:paraId="3750F3C9"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Investing cash flows consist primarily of capital expenditures; investment purchases, sales, maturities, and disposals; and proceeds from divestitures and cash used </w:t>
      </w:r>
      <w:r>
        <w:rPr>
          <w:rFonts w:ascii="Arial" w:eastAsia="宋体" w:hAnsi="Arial" w:cs="Arial"/>
          <w:color w:val="333333"/>
          <w:sz w:val="18"/>
          <w:szCs w:val="18"/>
        </w:rPr>
        <w:t>for acquisitions.</w:t>
      </w:r>
    </w:p>
    <w:p w14:paraId="3750F3CA"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Cash used for investing activities was higher in the first three months of 2020 compared to the first three months of 2019 primarily due to decreased sales of equity investments (substantially all from ASML sales). </w:t>
      </w:r>
    </w:p>
    <w:p w14:paraId="3750F3CB" w14:textId="77777777" w:rsidR="002541AD" w:rsidRDefault="00901AA6">
      <w:pPr>
        <w:spacing w:line="288" w:lineRule="auto"/>
        <w:rPr>
          <w:rFonts w:ascii="Times New Roman" w:hAnsi="Times New Roman"/>
          <w:sz w:val="20"/>
          <w:szCs w:val="20"/>
        </w:rPr>
      </w:pPr>
      <w:r>
        <w:rPr>
          <w:rFonts w:ascii="Arial" w:eastAsia="宋体" w:hAnsi="Arial" w:cs="Arial"/>
          <w:b/>
          <w:bCs/>
          <w:color w:val="333333"/>
          <w:sz w:val="20"/>
          <w:szCs w:val="20"/>
        </w:rPr>
        <w:t>Financing Activities</w:t>
      </w:r>
    </w:p>
    <w:p w14:paraId="3750F3CC"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F</w:t>
      </w:r>
      <w:r>
        <w:rPr>
          <w:rFonts w:ascii="Arial" w:eastAsia="宋体" w:hAnsi="Arial" w:cs="Arial"/>
          <w:color w:val="333333"/>
          <w:sz w:val="18"/>
          <w:szCs w:val="18"/>
        </w:rPr>
        <w:t>inancing cash flows consist primarily of repurchases of common stock, payment of dividends to stockholders, issuance and repayment of short-term and long-term debt, and proceeds from the sale of shares of common stock through employee equity incentive plan</w:t>
      </w:r>
      <w:r>
        <w:rPr>
          <w:rFonts w:ascii="Arial" w:eastAsia="宋体" w:hAnsi="Arial" w:cs="Arial"/>
          <w:color w:val="333333"/>
          <w:sz w:val="18"/>
          <w:szCs w:val="18"/>
        </w:rPr>
        <w:t>s.</w:t>
      </w:r>
    </w:p>
    <w:p w14:paraId="3750F3CD"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Cash was provided by financing activities in the first three months of 2020 compared to cash used for financing activities in the first three months of 2019 primarily due to increased long-term debt issuances offset by increased repurchases of common st</w:t>
      </w:r>
      <w:r>
        <w:rPr>
          <w:rFonts w:ascii="Arial" w:eastAsia="宋体" w:hAnsi="Arial" w:cs="Arial"/>
          <w:color w:val="333333"/>
          <w:sz w:val="18"/>
          <w:szCs w:val="18"/>
        </w:rPr>
        <w:t>ock and reduced proceeds from short-term debt.</w:t>
      </w:r>
    </w:p>
    <w:p w14:paraId="3750F3CE"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CONTRACTUAL OBLIGATIONS</w:t>
      </w:r>
    </w:p>
    <w:p w14:paraId="3750F3CF"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During Q1 2020, we issued a total of $10.3 billion aggregate principal amount of senior notes. Our remaining total cash payments over the life of these long-term debt </w:t>
      </w:r>
      <w:r>
        <w:rPr>
          <w:rFonts w:ascii="Arial" w:eastAsia="宋体" w:hAnsi="Arial" w:cs="Arial"/>
          <w:color w:val="333333"/>
          <w:sz w:val="18"/>
          <w:szCs w:val="18"/>
        </w:rPr>
        <w:t>obligations are expected to be approximately $19.1 billion. These payments include anticipated interest on fixed rate debt that is not recorded on the Consolidated Condensed Balance Sheets. For further information, see "Note 8: Borrowings" within the Conso</w:t>
      </w:r>
      <w:r>
        <w:rPr>
          <w:rFonts w:ascii="Arial" w:eastAsia="宋体" w:hAnsi="Arial" w:cs="Arial"/>
          <w:color w:val="333333"/>
          <w:sz w:val="18"/>
          <w:szCs w:val="18"/>
        </w:rPr>
        <w:t>lidated Condensed Financial Statements and Supplemental Details.</w:t>
      </w:r>
    </w:p>
    <w:p w14:paraId="3750F3D0"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QUANTITATIVE AND QUALITATIVE DISCLOSURES ABOUT MARKET RISK</w:t>
      </w:r>
    </w:p>
    <w:p w14:paraId="3750F3D1"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We are affected by changes in currency exchange and interest rates, as well as equity and commodity prices. Our risk management prog</w:t>
      </w:r>
      <w:r>
        <w:rPr>
          <w:rFonts w:ascii="Arial" w:eastAsia="宋体" w:hAnsi="Arial" w:cs="Arial"/>
          <w:color w:val="333333"/>
          <w:sz w:val="18"/>
          <w:szCs w:val="18"/>
        </w:rPr>
        <w:t>rams are designed to reduce, but may not entirely eliminate, the impacts of these risks. We performed sensitivity analyses of these risks to our financial positions as of December 28, 2019, and updated that sensitivity analysis as of March 28, 2020, to det</w:t>
      </w:r>
      <w:r>
        <w:rPr>
          <w:rFonts w:ascii="Arial" w:eastAsia="宋体" w:hAnsi="Arial" w:cs="Arial"/>
          <w:color w:val="333333"/>
          <w:sz w:val="18"/>
          <w:szCs w:val="18"/>
        </w:rPr>
        <w:t>ermine whether material changes in market risks pertaining to currency and interest rates or equity and commodity prices have occurred as a result of the COVID-19 pandemic. No material revisions were noted since disclosing "Quantitative and Qualitative Dis</w:t>
      </w:r>
      <w:r>
        <w:rPr>
          <w:rFonts w:ascii="Arial" w:eastAsia="宋体" w:hAnsi="Arial" w:cs="Arial"/>
          <w:color w:val="333333"/>
          <w:sz w:val="18"/>
          <w:szCs w:val="18"/>
        </w:rPr>
        <w:t>closures About Market Risk" within MD&amp;A, in our 2019 Form 10-K. Risks related to a slowdown or recession are described below under “Risk Factors.”</w:t>
      </w:r>
    </w:p>
    <w:p w14:paraId="3750F3D2"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F3D4" w14:textId="77777777">
        <w:tc>
          <w:tcPr>
            <w:tcW w:w="0" w:type="auto"/>
            <w:gridSpan w:val="3"/>
            <w:shd w:val="clear" w:color="auto" w:fill="auto"/>
            <w:vAlign w:val="center"/>
          </w:tcPr>
          <w:p w14:paraId="3750F3D3" w14:textId="77777777" w:rsidR="002541AD" w:rsidRDefault="002541AD">
            <w:pPr>
              <w:rPr>
                <w:rFonts w:ascii="Times New Roman" w:hAnsi="Times New Roman"/>
                <w:sz w:val="20"/>
                <w:szCs w:val="20"/>
              </w:rPr>
            </w:pPr>
          </w:p>
        </w:tc>
      </w:tr>
      <w:tr w:rsidR="002541AD" w14:paraId="3750F3D8" w14:textId="77777777">
        <w:tc>
          <w:tcPr>
            <w:tcW w:w="1550" w:type="pct"/>
            <w:shd w:val="clear" w:color="auto" w:fill="auto"/>
            <w:vAlign w:val="center"/>
          </w:tcPr>
          <w:p w14:paraId="3750F3D5" w14:textId="77777777" w:rsidR="002541AD" w:rsidRDefault="002541AD">
            <w:pPr>
              <w:rPr>
                <w:rFonts w:ascii="Times New Roman" w:hAnsi="Times New Roman"/>
                <w:sz w:val="20"/>
                <w:szCs w:val="20"/>
              </w:rPr>
            </w:pPr>
          </w:p>
        </w:tc>
        <w:tc>
          <w:tcPr>
            <w:tcW w:w="2200" w:type="pct"/>
            <w:shd w:val="clear" w:color="auto" w:fill="auto"/>
            <w:vAlign w:val="center"/>
          </w:tcPr>
          <w:p w14:paraId="3750F3D6" w14:textId="77777777" w:rsidR="002541AD" w:rsidRDefault="002541AD">
            <w:pPr>
              <w:rPr>
                <w:rFonts w:ascii="Times New Roman" w:hAnsi="Times New Roman"/>
                <w:sz w:val="20"/>
                <w:szCs w:val="20"/>
              </w:rPr>
            </w:pPr>
          </w:p>
        </w:tc>
        <w:tc>
          <w:tcPr>
            <w:tcW w:w="1250" w:type="pct"/>
            <w:shd w:val="clear" w:color="auto" w:fill="auto"/>
            <w:vAlign w:val="center"/>
          </w:tcPr>
          <w:p w14:paraId="3750F3D7" w14:textId="77777777" w:rsidR="002541AD" w:rsidRDefault="002541AD">
            <w:pPr>
              <w:rPr>
                <w:rFonts w:ascii="Times New Roman" w:hAnsi="Times New Roman"/>
                <w:sz w:val="20"/>
                <w:szCs w:val="20"/>
              </w:rPr>
            </w:pPr>
          </w:p>
        </w:tc>
      </w:tr>
      <w:tr w:rsidR="002541AD" w14:paraId="3750F3DC"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F3D9"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CF" wp14:editId="3750F8D0">
                  <wp:extent cx="304800" cy="304800"/>
                  <wp:effectExtent l="0" t="0" r="0" b="0"/>
                  <wp:docPr id="86" name="图片 130"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30"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3D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3DB"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37</w:t>
            </w:r>
          </w:p>
        </w:tc>
      </w:tr>
    </w:tbl>
    <w:p w14:paraId="3750F3DD" w14:textId="77777777" w:rsidR="002541AD" w:rsidRDefault="002541AD">
      <w:pPr>
        <w:spacing w:line="288" w:lineRule="auto"/>
        <w:rPr>
          <w:rFonts w:ascii="Times New Roman" w:hAnsi="Times New Roman"/>
          <w:sz w:val="18"/>
          <w:szCs w:val="18"/>
        </w:rPr>
      </w:pPr>
    </w:p>
    <w:p w14:paraId="3750F3DE" w14:textId="77777777" w:rsidR="002541AD" w:rsidRDefault="00901AA6">
      <w:r>
        <w:rPr>
          <w:rFonts w:ascii="Times New Roman" w:hAnsi="Times New Roman"/>
          <w:sz w:val="18"/>
          <w:szCs w:val="18"/>
        </w:rPr>
        <w:pict w14:anchorId="3750F8D1">
          <v:rect id="_x0000_i1063" style="width:415.3pt;height:1.5pt" o:hralign="center" o:hrstd="t" o:hr="t" fillcolor="#a0a0a0" stroked="f"/>
        </w:pict>
      </w:r>
    </w:p>
    <w:p w14:paraId="3750F3DF" w14:textId="77777777" w:rsidR="002541AD" w:rsidRDefault="00901AA6">
      <w:pPr>
        <w:spacing w:line="288" w:lineRule="auto"/>
        <w:jc w:val="right"/>
        <w:rPr>
          <w:rFonts w:ascii="Times New Roman" w:hAnsi="Times New Roman"/>
          <w:sz w:val="16"/>
          <w:szCs w:val="16"/>
        </w:rPr>
      </w:pPr>
      <w:hyperlink r:id="rId66" w:anchor="s2CABEAF4222C52B4A34547BF538A8C27" w:history="1">
        <w:r>
          <w:rPr>
            <w:rStyle w:val="a5"/>
            <w:rFonts w:ascii="Arial" w:eastAsia="宋体" w:hAnsi="Arial" w:cs="Arial"/>
            <w:b/>
            <w:bCs/>
            <w:sz w:val="16"/>
            <w:szCs w:val="16"/>
          </w:rPr>
          <w:t>Table of Contents</w:t>
        </w:r>
      </w:hyperlink>
    </w:p>
    <w:p w14:paraId="3750F3E0" w14:textId="77777777" w:rsidR="002541AD" w:rsidRDefault="002541AD">
      <w:pPr>
        <w:spacing w:line="288" w:lineRule="auto"/>
        <w:jc w:val="right"/>
        <w:rPr>
          <w:rFonts w:ascii="Times New Roman" w:hAnsi="Times New Roman"/>
          <w:sz w:val="18"/>
          <w:szCs w:val="18"/>
        </w:rPr>
      </w:pPr>
    </w:p>
    <w:p w14:paraId="3750F3E1" w14:textId="77777777" w:rsidR="002541AD" w:rsidRDefault="002541AD">
      <w:pPr>
        <w:rPr>
          <w:rFonts w:ascii="Times New Roman" w:hAnsi="Times New Roman"/>
          <w:sz w:val="20"/>
          <w:szCs w:val="20"/>
        </w:rPr>
      </w:pPr>
    </w:p>
    <w:p w14:paraId="3750F3E2"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NON-GAAP FINANCIAL MEASURES</w:t>
      </w:r>
    </w:p>
    <w:p w14:paraId="3750F3E3"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In addition to disclosing financial results in a</w:t>
      </w:r>
      <w:r>
        <w:rPr>
          <w:rFonts w:ascii="Arial" w:eastAsia="宋体" w:hAnsi="Arial" w:cs="Arial"/>
          <w:color w:val="333333"/>
          <w:sz w:val="18"/>
          <w:szCs w:val="18"/>
        </w:rPr>
        <w:t>ccordance with U.S. GAAP, this document contains references to the non-GAAP financial measures below. We believe these non-GAAP financial measures provide investors with useful supplemental information about the financial performance of our business, enabl</w:t>
      </w:r>
      <w:r>
        <w:rPr>
          <w:rFonts w:ascii="Arial" w:eastAsia="宋体" w:hAnsi="Arial" w:cs="Arial"/>
          <w:color w:val="333333"/>
          <w:sz w:val="18"/>
          <w:szCs w:val="18"/>
        </w:rPr>
        <w:t xml:space="preserve">e comparison of financial results between periods where certain items may vary independent of business performance, and allow for greater transparency with respect to key metrics used by management in operating our business and measuring our performance. </w:t>
      </w:r>
    </w:p>
    <w:p w14:paraId="3750F3E4"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Our non-GAAP financial measures reflect adjustments based on one or more of the following items, as well as the related income tax effects where applicable. Income tax effects have been calculated using an appropriate tax rate for each adjustment. These no</w:t>
      </w:r>
      <w:r>
        <w:rPr>
          <w:rFonts w:ascii="Arial" w:eastAsia="宋体" w:hAnsi="Arial" w:cs="Arial"/>
          <w:color w:val="333333"/>
          <w:sz w:val="18"/>
          <w:szCs w:val="18"/>
        </w:rPr>
        <w:t>n-GAAP financial measures should not be considered a substitute for, or superior to, financial measures calculated in accordance with U.S. GAAP, and the financial results calculated in accordance with U.S. GAAP and reconciliations from these results should</w:t>
      </w:r>
      <w:r>
        <w:rPr>
          <w:rFonts w:ascii="Arial" w:eastAsia="宋体" w:hAnsi="Arial" w:cs="Arial"/>
          <w:color w:val="333333"/>
          <w:sz w:val="18"/>
          <w:szCs w:val="18"/>
        </w:rPr>
        <w:t xml:space="preserve"> be carefully evaluated. </w:t>
      </w:r>
    </w:p>
    <w:tbl>
      <w:tblPr>
        <w:tblW w:w="5000" w:type="pct"/>
        <w:tblCellMar>
          <w:left w:w="0" w:type="dxa"/>
          <w:right w:w="0" w:type="dxa"/>
        </w:tblCellMar>
        <w:tblLook w:val="04A0" w:firstRow="1" w:lastRow="0" w:firstColumn="1" w:lastColumn="0" w:noHBand="0" w:noVBand="1"/>
      </w:tblPr>
      <w:tblGrid>
        <w:gridCol w:w="1561"/>
        <w:gridCol w:w="3372"/>
        <w:gridCol w:w="3373"/>
      </w:tblGrid>
      <w:tr w:rsidR="002541AD" w14:paraId="3750F3E6" w14:textId="77777777">
        <w:tc>
          <w:tcPr>
            <w:tcW w:w="0" w:type="auto"/>
            <w:gridSpan w:val="3"/>
            <w:shd w:val="clear" w:color="auto" w:fill="auto"/>
            <w:vAlign w:val="center"/>
          </w:tcPr>
          <w:p w14:paraId="3750F3E5" w14:textId="77777777" w:rsidR="002541AD" w:rsidRDefault="002541AD">
            <w:pPr>
              <w:rPr>
                <w:rFonts w:ascii="Times New Roman" w:hAnsi="Times New Roman"/>
                <w:sz w:val="20"/>
                <w:szCs w:val="20"/>
              </w:rPr>
            </w:pPr>
          </w:p>
        </w:tc>
      </w:tr>
      <w:tr w:rsidR="002541AD" w14:paraId="3750F3EA" w14:textId="77777777">
        <w:tc>
          <w:tcPr>
            <w:tcW w:w="900" w:type="pct"/>
            <w:shd w:val="clear" w:color="auto" w:fill="auto"/>
            <w:vAlign w:val="center"/>
          </w:tcPr>
          <w:p w14:paraId="3750F3E7" w14:textId="77777777" w:rsidR="002541AD" w:rsidRDefault="002541AD">
            <w:pPr>
              <w:rPr>
                <w:rFonts w:ascii="Times New Roman" w:hAnsi="Times New Roman"/>
                <w:sz w:val="20"/>
                <w:szCs w:val="20"/>
              </w:rPr>
            </w:pPr>
          </w:p>
        </w:tc>
        <w:tc>
          <w:tcPr>
            <w:tcW w:w="2050" w:type="pct"/>
            <w:shd w:val="clear" w:color="auto" w:fill="auto"/>
            <w:vAlign w:val="center"/>
          </w:tcPr>
          <w:p w14:paraId="3750F3E8" w14:textId="77777777" w:rsidR="002541AD" w:rsidRDefault="002541AD">
            <w:pPr>
              <w:rPr>
                <w:rFonts w:ascii="Times New Roman" w:hAnsi="Times New Roman"/>
                <w:sz w:val="20"/>
                <w:szCs w:val="20"/>
              </w:rPr>
            </w:pPr>
          </w:p>
        </w:tc>
        <w:tc>
          <w:tcPr>
            <w:tcW w:w="2050" w:type="pct"/>
            <w:shd w:val="clear" w:color="auto" w:fill="auto"/>
            <w:vAlign w:val="center"/>
          </w:tcPr>
          <w:p w14:paraId="3750F3E9" w14:textId="77777777" w:rsidR="002541AD" w:rsidRDefault="002541AD">
            <w:pPr>
              <w:rPr>
                <w:rFonts w:ascii="Times New Roman" w:hAnsi="Times New Roman"/>
                <w:sz w:val="20"/>
                <w:szCs w:val="20"/>
              </w:rPr>
            </w:pPr>
          </w:p>
        </w:tc>
      </w:tr>
      <w:tr w:rsidR="002541AD" w14:paraId="3750F3EE"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F3EB" w14:textId="77777777" w:rsidR="002541AD" w:rsidRDefault="00901AA6">
            <w:pPr>
              <w:jc w:val="center"/>
              <w:textAlignment w:val="bottom"/>
              <w:rPr>
                <w:rFonts w:ascii="Times New Roman" w:hAnsi="Times New Roman"/>
                <w:sz w:val="20"/>
                <w:szCs w:val="20"/>
              </w:rPr>
            </w:pPr>
            <w:r>
              <w:rPr>
                <w:rFonts w:ascii="Arial" w:eastAsia="宋体" w:hAnsi="Arial" w:cs="Arial"/>
                <w:b/>
                <w:bCs/>
                <w:color w:val="333333"/>
                <w:sz w:val="20"/>
                <w:szCs w:val="20"/>
              </w:rPr>
              <w:t>Non-GAAP adjustment or measure</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F3EC" w14:textId="77777777" w:rsidR="002541AD" w:rsidRDefault="00901AA6">
            <w:pPr>
              <w:jc w:val="center"/>
              <w:textAlignment w:val="bottom"/>
              <w:rPr>
                <w:rFonts w:ascii="Times New Roman" w:hAnsi="Times New Roman"/>
                <w:sz w:val="20"/>
                <w:szCs w:val="20"/>
              </w:rPr>
            </w:pPr>
            <w:r>
              <w:rPr>
                <w:rFonts w:ascii="Arial" w:eastAsia="宋体" w:hAnsi="Arial" w:cs="Arial"/>
                <w:b/>
                <w:bCs/>
                <w:color w:val="333333"/>
                <w:sz w:val="20"/>
                <w:szCs w:val="20"/>
              </w:rPr>
              <w:t>Definition</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F3ED" w14:textId="77777777" w:rsidR="002541AD" w:rsidRDefault="00901AA6">
            <w:pPr>
              <w:jc w:val="center"/>
              <w:textAlignment w:val="bottom"/>
              <w:rPr>
                <w:rFonts w:ascii="Times New Roman" w:hAnsi="Times New Roman"/>
                <w:sz w:val="20"/>
                <w:szCs w:val="20"/>
              </w:rPr>
            </w:pPr>
            <w:r>
              <w:rPr>
                <w:rFonts w:ascii="Arial" w:eastAsia="宋体" w:hAnsi="Arial" w:cs="Arial"/>
                <w:b/>
                <w:bCs/>
                <w:color w:val="333333"/>
                <w:sz w:val="20"/>
                <w:szCs w:val="20"/>
              </w:rPr>
              <w:t>Usefulness to management and investors</w:t>
            </w:r>
          </w:p>
        </w:tc>
      </w:tr>
      <w:tr w:rsidR="002541AD" w14:paraId="3750F3F2" w14:textId="77777777">
        <w:tc>
          <w:tcPr>
            <w:tcW w:w="0" w:type="auto"/>
            <w:tcBorders>
              <w:left w:val="single" w:sz="8" w:space="0" w:color="333333"/>
            </w:tcBorders>
            <w:shd w:val="clear" w:color="auto" w:fill="auto"/>
            <w:tcMar>
              <w:top w:w="40" w:type="dxa"/>
              <w:left w:w="40" w:type="dxa"/>
              <w:bottom w:w="40" w:type="dxa"/>
              <w:right w:w="40" w:type="dxa"/>
            </w:tcMar>
          </w:tcPr>
          <w:p w14:paraId="3750F3EF"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Acquisition-related adjustments</w:t>
            </w:r>
          </w:p>
        </w:tc>
        <w:tc>
          <w:tcPr>
            <w:tcW w:w="0" w:type="auto"/>
            <w:tcBorders>
              <w:left w:val="single" w:sz="8" w:space="0" w:color="333333"/>
            </w:tcBorders>
            <w:shd w:val="clear" w:color="auto" w:fill="auto"/>
            <w:tcMar>
              <w:top w:w="40" w:type="dxa"/>
              <w:left w:w="40" w:type="dxa"/>
              <w:bottom w:w="40" w:type="dxa"/>
              <w:right w:w="40" w:type="dxa"/>
            </w:tcMar>
          </w:tcPr>
          <w:p w14:paraId="3750F3F0"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 xml:space="preserve">Amortization of acquisition-related intangible assets consists of amortization of intangible assets such as </w:t>
            </w:r>
            <w:r>
              <w:rPr>
                <w:rFonts w:ascii="Arial" w:eastAsia="宋体" w:hAnsi="Arial" w:cs="Arial"/>
                <w:color w:val="333333"/>
                <w:sz w:val="18"/>
                <w:szCs w:val="18"/>
              </w:rPr>
              <w:t>developed technology, brands, and customer relationships acquired in connection with business combinations. Charges related to the amortization of these intangibles are recorded within both cost of sales and MG&amp;A in our U.S. GAAP financial statements. Amor</w:t>
            </w:r>
            <w:r>
              <w:rPr>
                <w:rFonts w:ascii="Arial" w:eastAsia="宋体" w:hAnsi="Arial" w:cs="Arial"/>
                <w:color w:val="333333"/>
                <w:sz w:val="18"/>
                <w:szCs w:val="18"/>
              </w:rPr>
              <w:t>tization charges are recorded over the estimated useful life of the related acquired intangible asset, and thus are generally recorded over multiple years.</w:t>
            </w:r>
          </w:p>
        </w:tc>
        <w:tc>
          <w:tcPr>
            <w:tcW w:w="0" w:type="auto"/>
            <w:tcBorders>
              <w:left w:val="single" w:sz="8" w:space="0" w:color="333333"/>
              <w:right w:val="single" w:sz="8" w:space="0" w:color="333333"/>
            </w:tcBorders>
            <w:shd w:val="clear" w:color="auto" w:fill="auto"/>
            <w:tcMar>
              <w:top w:w="40" w:type="dxa"/>
              <w:left w:w="40" w:type="dxa"/>
              <w:bottom w:w="40" w:type="dxa"/>
              <w:right w:w="40" w:type="dxa"/>
            </w:tcMar>
          </w:tcPr>
          <w:p w14:paraId="3750F3F1"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We exclude amortization charges for our acquisition-related intangible assets for purposes of calcul</w:t>
            </w:r>
            <w:r>
              <w:rPr>
                <w:rFonts w:ascii="Arial" w:eastAsia="宋体" w:hAnsi="Arial" w:cs="Arial"/>
                <w:color w:val="333333"/>
                <w:sz w:val="18"/>
                <w:szCs w:val="18"/>
              </w:rPr>
              <w:t>ating certain non-GAAP measures because these charges are inconsistent in size and are significantly impacted by the timing and valuation of our acquisitions. These adjustments facilitate a useful evaluation of our current operating performance and compari</w:t>
            </w:r>
            <w:r>
              <w:rPr>
                <w:rFonts w:ascii="Arial" w:eastAsia="宋体" w:hAnsi="Arial" w:cs="Arial"/>
                <w:color w:val="333333"/>
                <w:sz w:val="18"/>
                <w:szCs w:val="18"/>
              </w:rPr>
              <w:t>son to our past operating performance and provide investors with additional means to evaluate cost and expense trends.</w:t>
            </w:r>
          </w:p>
        </w:tc>
      </w:tr>
      <w:tr w:rsidR="002541AD" w14:paraId="3750F3F6" w14:textId="77777777">
        <w:tc>
          <w:tcPr>
            <w:tcW w:w="0" w:type="auto"/>
            <w:tcBorders>
              <w:top w:val="single" w:sz="8" w:space="0" w:color="333333"/>
              <w:left w:val="single" w:sz="8" w:space="0" w:color="333333"/>
            </w:tcBorders>
            <w:shd w:val="clear" w:color="auto" w:fill="auto"/>
            <w:tcMar>
              <w:top w:w="40" w:type="dxa"/>
              <w:left w:w="40" w:type="dxa"/>
              <w:bottom w:w="40" w:type="dxa"/>
              <w:right w:w="40" w:type="dxa"/>
            </w:tcMar>
          </w:tcPr>
          <w:p w14:paraId="3750F3F3"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Restructuring and other charges</w:t>
            </w:r>
          </w:p>
        </w:tc>
        <w:tc>
          <w:tcPr>
            <w:tcW w:w="0" w:type="auto"/>
            <w:tcBorders>
              <w:top w:val="single" w:sz="8" w:space="0" w:color="333333"/>
              <w:left w:val="single" w:sz="8" w:space="0" w:color="333333"/>
            </w:tcBorders>
            <w:shd w:val="clear" w:color="auto" w:fill="auto"/>
            <w:tcMar>
              <w:top w:w="40" w:type="dxa"/>
              <w:left w:w="40" w:type="dxa"/>
              <w:bottom w:w="40" w:type="dxa"/>
              <w:right w:w="40" w:type="dxa"/>
            </w:tcMar>
          </w:tcPr>
          <w:p w14:paraId="3750F3F4"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 xml:space="preserve">Restructuring charges are costs associated with a formal restructuring plan and are primarily </w:t>
            </w:r>
            <w:r>
              <w:rPr>
                <w:rFonts w:ascii="Arial" w:eastAsia="宋体" w:hAnsi="Arial" w:cs="Arial"/>
                <w:color w:val="333333"/>
                <w:sz w:val="18"/>
                <w:szCs w:val="18"/>
              </w:rPr>
              <w:t>related to employee severance and benefit arrangements. Other charges include asset impairments, pension charges, and costs associated with restructuring activity.</w:t>
            </w:r>
          </w:p>
        </w:tc>
        <w:tc>
          <w:tcPr>
            <w:tcW w:w="0" w:type="auto"/>
            <w:tcBorders>
              <w:top w:val="single" w:sz="8" w:space="0" w:color="333333"/>
              <w:left w:val="single" w:sz="8" w:space="0" w:color="333333"/>
              <w:right w:val="single" w:sz="8" w:space="0" w:color="333333"/>
            </w:tcBorders>
            <w:shd w:val="clear" w:color="auto" w:fill="auto"/>
            <w:tcMar>
              <w:top w:w="40" w:type="dxa"/>
              <w:left w:w="40" w:type="dxa"/>
              <w:bottom w:w="40" w:type="dxa"/>
              <w:right w:w="40" w:type="dxa"/>
            </w:tcMar>
          </w:tcPr>
          <w:p w14:paraId="3750F3F5"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We exclude restructuring and other charges, including any adjustments to charges recorded in</w:t>
            </w:r>
            <w:r>
              <w:rPr>
                <w:rFonts w:ascii="Arial" w:eastAsia="宋体" w:hAnsi="Arial" w:cs="Arial"/>
                <w:color w:val="333333"/>
                <w:sz w:val="18"/>
                <w:szCs w:val="18"/>
              </w:rPr>
              <w:t xml:space="preserve"> prior periods, for purposes of calculating certain non-GAAP measures because these costs do not reflect our current operating performance and are significantly impacted by the timing of restructuring activity. These adjustments facilitate a useful evaluat</w:t>
            </w:r>
            <w:r>
              <w:rPr>
                <w:rFonts w:ascii="Arial" w:eastAsia="宋体" w:hAnsi="Arial" w:cs="Arial"/>
                <w:color w:val="333333"/>
                <w:sz w:val="18"/>
                <w:szCs w:val="18"/>
              </w:rPr>
              <w:t>ion of our current operating performance and comparisons to past operating results and provide investors with additional means to evaluate expense trends.</w:t>
            </w:r>
          </w:p>
        </w:tc>
      </w:tr>
      <w:tr w:rsidR="002541AD" w14:paraId="3750F3FA" w14:textId="77777777">
        <w:tc>
          <w:tcPr>
            <w:tcW w:w="0" w:type="auto"/>
            <w:tcBorders>
              <w:top w:val="single" w:sz="8" w:space="0" w:color="333333"/>
              <w:left w:val="single" w:sz="8" w:space="0" w:color="333333"/>
            </w:tcBorders>
            <w:shd w:val="clear" w:color="auto" w:fill="auto"/>
            <w:tcMar>
              <w:top w:w="40" w:type="dxa"/>
              <w:left w:w="40" w:type="dxa"/>
              <w:bottom w:w="40" w:type="dxa"/>
              <w:right w:w="40" w:type="dxa"/>
            </w:tcMar>
          </w:tcPr>
          <w:p w14:paraId="3750F3F7"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Ongoing mark-to-market on marketable equity securities</w:t>
            </w:r>
          </w:p>
        </w:tc>
        <w:tc>
          <w:tcPr>
            <w:tcW w:w="0" w:type="auto"/>
            <w:tcBorders>
              <w:top w:val="single" w:sz="8" w:space="0" w:color="333333"/>
              <w:left w:val="single" w:sz="8" w:space="0" w:color="333333"/>
            </w:tcBorders>
            <w:shd w:val="clear" w:color="auto" w:fill="auto"/>
            <w:tcMar>
              <w:top w:w="40" w:type="dxa"/>
              <w:left w:w="40" w:type="dxa"/>
              <w:bottom w:w="40" w:type="dxa"/>
              <w:right w:w="40" w:type="dxa"/>
            </w:tcMar>
          </w:tcPr>
          <w:p w14:paraId="3750F3F8"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After the initial mark-to-market adjustment i</w:t>
            </w:r>
            <w:r>
              <w:rPr>
                <w:rFonts w:ascii="Arial" w:eastAsia="宋体" w:hAnsi="Arial" w:cs="Arial"/>
                <w:color w:val="333333"/>
                <w:sz w:val="18"/>
                <w:szCs w:val="18"/>
              </w:rPr>
              <w:t>s recorded upon a security becoming marketable, gains and losses are recognized from ongoing mark-to-market adjustments of our marketable equity securities.</w:t>
            </w:r>
          </w:p>
        </w:tc>
        <w:tc>
          <w:tcPr>
            <w:tcW w:w="0" w:type="auto"/>
            <w:tcBorders>
              <w:top w:val="single" w:sz="8" w:space="0" w:color="333333"/>
              <w:left w:val="single" w:sz="8" w:space="0" w:color="333333"/>
              <w:right w:val="single" w:sz="8" w:space="0" w:color="333333"/>
            </w:tcBorders>
            <w:shd w:val="clear" w:color="auto" w:fill="auto"/>
            <w:tcMar>
              <w:top w:w="40" w:type="dxa"/>
              <w:left w:w="40" w:type="dxa"/>
              <w:bottom w:w="40" w:type="dxa"/>
              <w:right w:w="40" w:type="dxa"/>
            </w:tcMar>
          </w:tcPr>
          <w:p w14:paraId="3750F3F9"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We exclude these ongoing gains and losses for purposes of calculating certain non-GAAP measures bec</w:t>
            </w:r>
            <w:r>
              <w:rPr>
                <w:rFonts w:ascii="Arial" w:eastAsia="宋体" w:hAnsi="Arial" w:cs="Arial"/>
                <w:color w:val="333333"/>
                <w:sz w:val="18"/>
                <w:szCs w:val="18"/>
              </w:rPr>
              <w:t>ause we do not believe this volatility correlates to our core operational performance. These adjustments facilitate a useful evaluation of our current operating performance and comparisons to past operating results.</w:t>
            </w:r>
          </w:p>
        </w:tc>
      </w:tr>
      <w:tr w:rsidR="002541AD" w14:paraId="3750F3FE" w14:textId="77777777">
        <w:tc>
          <w:tcPr>
            <w:tcW w:w="0" w:type="auto"/>
            <w:tcBorders>
              <w:top w:val="single" w:sz="8" w:space="0" w:color="333333"/>
              <w:left w:val="single" w:sz="8" w:space="0" w:color="333333"/>
              <w:bottom w:val="single" w:sz="8" w:space="0" w:color="333333"/>
            </w:tcBorders>
            <w:shd w:val="clear" w:color="auto" w:fill="auto"/>
            <w:tcMar>
              <w:top w:w="40" w:type="dxa"/>
              <w:left w:w="40" w:type="dxa"/>
              <w:bottom w:w="40" w:type="dxa"/>
              <w:right w:w="40" w:type="dxa"/>
            </w:tcMar>
          </w:tcPr>
          <w:p w14:paraId="3750F3FB"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Free cash flow</w:t>
            </w:r>
          </w:p>
        </w:tc>
        <w:tc>
          <w:tcPr>
            <w:tcW w:w="0" w:type="auto"/>
            <w:tcBorders>
              <w:top w:val="single" w:sz="8" w:space="0" w:color="333333"/>
              <w:left w:val="single" w:sz="8" w:space="0" w:color="333333"/>
              <w:bottom w:val="single" w:sz="8" w:space="0" w:color="333333"/>
            </w:tcBorders>
            <w:shd w:val="clear" w:color="auto" w:fill="auto"/>
            <w:tcMar>
              <w:top w:w="40" w:type="dxa"/>
              <w:left w:w="40" w:type="dxa"/>
              <w:bottom w:w="40" w:type="dxa"/>
              <w:right w:w="40" w:type="dxa"/>
            </w:tcMar>
          </w:tcPr>
          <w:p w14:paraId="3750F3FC"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 xml:space="preserve">We reference a </w:t>
            </w:r>
            <w:r>
              <w:rPr>
                <w:rFonts w:ascii="Arial" w:eastAsia="宋体" w:hAnsi="Arial" w:cs="Arial"/>
                <w:color w:val="333333"/>
                <w:sz w:val="18"/>
                <w:szCs w:val="18"/>
              </w:rPr>
              <w:t>non-GAAP financial measure of free cash flow, which is used by management when assessing our sources of liquidity, capital resources, and quality of earnings. Free cash flow is operating cash flow adjusted to exclude additions to property, plant, and equip</w:t>
            </w:r>
            <w:r>
              <w:rPr>
                <w:rFonts w:ascii="Arial" w:eastAsia="宋体" w:hAnsi="Arial" w:cs="Arial"/>
                <w:color w:val="333333"/>
                <w:sz w:val="18"/>
                <w:szCs w:val="18"/>
              </w:rPr>
              <w:t>ment.</w:t>
            </w:r>
          </w:p>
        </w:tc>
        <w:tc>
          <w:tcPr>
            <w:tcW w:w="0" w:type="auto"/>
            <w:tcBorders>
              <w:top w:val="single" w:sz="8" w:space="0" w:color="333333"/>
              <w:left w:val="single" w:sz="8" w:space="0" w:color="333333"/>
              <w:bottom w:val="single" w:sz="8" w:space="0" w:color="333333"/>
              <w:right w:val="single" w:sz="8" w:space="0" w:color="333333"/>
            </w:tcBorders>
            <w:shd w:val="clear" w:color="auto" w:fill="auto"/>
            <w:tcMar>
              <w:top w:w="40" w:type="dxa"/>
              <w:left w:w="40" w:type="dxa"/>
              <w:bottom w:w="40" w:type="dxa"/>
              <w:right w:w="40" w:type="dxa"/>
            </w:tcMar>
          </w:tcPr>
          <w:p w14:paraId="3750F3FD"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This non-GAAP financial measure is helpful in understanding our capital requirements and provides an additional means to evaluate the cash flow trends of our business.</w:t>
            </w:r>
          </w:p>
        </w:tc>
      </w:tr>
    </w:tbl>
    <w:p w14:paraId="3750F3FF" w14:textId="77777777" w:rsidR="002541AD" w:rsidRDefault="002541AD">
      <w:pPr>
        <w:spacing w:line="288" w:lineRule="auto"/>
        <w:rPr>
          <w:rFonts w:ascii="Times New Roman" w:hAnsi="Times New Roman"/>
          <w:sz w:val="18"/>
          <w:szCs w:val="18"/>
        </w:rPr>
      </w:pPr>
    </w:p>
    <w:p w14:paraId="3750F400"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F402" w14:textId="77777777">
        <w:tc>
          <w:tcPr>
            <w:tcW w:w="0" w:type="auto"/>
            <w:gridSpan w:val="3"/>
            <w:shd w:val="clear" w:color="auto" w:fill="auto"/>
            <w:vAlign w:val="center"/>
          </w:tcPr>
          <w:p w14:paraId="3750F401" w14:textId="77777777" w:rsidR="002541AD" w:rsidRDefault="002541AD">
            <w:pPr>
              <w:rPr>
                <w:rFonts w:ascii="Times New Roman" w:hAnsi="Times New Roman"/>
                <w:sz w:val="20"/>
                <w:szCs w:val="20"/>
              </w:rPr>
            </w:pPr>
          </w:p>
        </w:tc>
      </w:tr>
      <w:tr w:rsidR="002541AD" w14:paraId="3750F406" w14:textId="77777777">
        <w:tc>
          <w:tcPr>
            <w:tcW w:w="1550" w:type="pct"/>
            <w:shd w:val="clear" w:color="auto" w:fill="auto"/>
            <w:vAlign w:val="center"/>
          </w:tcPr>
          <w:p w14:paraId="3750F403" w14:textId="77777777" w:rsidR="002541AD" w:rsidRDefault="002541AD">
            <w:pPr>
              <w:rPr>
                <w:rFonts w:ascii="Times New Roman" w:hAnsi="Times New Roman"/>
                <w:sz w:val="20"/>
                <w:szCs w:val="20"/>
              </w:rPr>
            </w:pPr>
          </w:p>
        </w:tc>
        <w:tc>
          <w:tcPr>
            <w:tcW w:w="2200" w:type="pct"/>
            <w:shd w:val="clear" w:color="auto" w:fill="auto"/>
            <w:vAlign w:val="center"/>
          </w:tcPr>
          <w:p w14:paraId="3750F404" w14:textId="77777777" w:rsidR="002541AD" w:rsidRDefault="002541AD">
            <w:pPr>
              <w:rPr>
                <w:rFonts w:ascii="Times New Roman" w:hAnsi="Times New Roman"/>
                <w:sz w:val="20"/>
                <w:szCs w:val="20"/>
              </w:rPr>
            </w:pPr>
          </w:p>
        </w:tc>
        <w:tc>
          <w:tcPr>
            <w:tcW w:w="1250" w:type="pct"/>
            <w:shd w:val="clear" w:color="auto" w:fill="auto"/>
            <w:vAlign w:val="center"/>
          </w:tcPr>
          <w:p w14:paraId="3750F405" w14:textId="77777777" w:rsidR="002541AD" w:rsidRDefault="002541AD">
            <w:pPr>
              <w:rPr>
                <w:rFonts w:ascii="Times New Roman" w:hAnsi="Times New Roman"/>
                <w:sz w:val="20"/>
                <w:szCs w:val="20"/>
              </w:rPr>
            </w:pPr>
          </w:p>
        </w:tc>
      </w:tr>
      <w:tr w:rsidR="002541AD" w14:paraId="3750F40A"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F407"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D2" wp14:editId="3750F8D3">
                  <wp:extent cx="304800" cy="304800"/>
                  <wp:effectExtent l="0" t="0" r="0" b="0"/>
                  <wp:docPr id="88" name="图片 132"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32"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40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409"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38</w:t>
            </w:r>
          </w:p>
        </w:tc>
      </w:tr>
    </w:tbl>
    <w:p w14:paraId="3750F40B" w14:textId="77777777" w:rsidR="002541AD" w:rsidRDefault="002541AD">
      <w:pPr>
        <w:spacing w:line="288" w:lineRule="auto"/>
        <w:rPr>
          <w:rFonts w:ascii="Times New Roman" w:hAnsi="Times New Roman"/>
          <w:sz w:val="18"/>
          <w:szCs w:val="18"/>
        </w:rPr>
      </w:pPr>
    </w:p>
    <w:p w14:paraId="3750F40C" w14:textId="77777777" w:rsidR="002541AD" w:rsidRDefault="00901AA6">
      <w:r>
        <w:rPr>
          <w:rFonts w:ascii="Times New Roman" w:hAnsi="Times New Roman"/>
          <w:sz w:val="18"/>
          <w:szCs w:val="18"/>
        </w:rPr>
        <w:pict w14:anchorId="3750F8D4">
          <v:rect id="_x0000_i1064" style="width:415.3pt;height:1.5pt" o:hralign="center" o:hrstd="t" o:hr="t" fillcolor="#a0a0a0" stroked="f"/>
        </w:pict>
      </w:r>
    </w:p>
    <w:p w14:paraId="3750F40D" w14:textId="77777777" w:rsidR="002541AD" w:rsidRDefault="00901AA6">
      <w:pPr>
        <w:spacing w:line="288" w:lineRule="auto"/>
        <w:jc w:val="right"/>
        <w:rPr>
          <w:rFonts w:ascii="Times New Roman" w:hAnsi="Times New Roman"/>
          <w:sz w:val="16"/>
          <w:szCs w:val="16"/>
        </w:rPr>
      </w:pPr>
      <w:hyperlink r:id="rId67" w:anchor="s2CABEAF4222C52B4A34547BF538A8C27" w:history="1">
        <w:r>
          <w:rPr>
            <w:rStyle w:val="a5"/>
            <w:rFonts w:ascii="Arial" w:eastAsia="宋体" w:hAnsi="Arial" w:cs="Arial"/>
            <w:b/>
            <w:bCs/>
            <w:sz w:val="16"/>
            <w:szCs w:val="16"/>
          </w:rPr>
          <w:t>Table of Contents</w:t>
        </w:r>
      </w:hyperlink>
    </w:p>
    <w:p w14:paraId="3750F40E" w14:textId="77777777" w:rsidR="002541AD" w:rsidRDefault="002541AD">
      <w:pPr>
        <w:spacing w:line="288" w:lineRule="auto"/>
        <w:jc w:val="right"/>
        <w:rPr>
          <w:rFonts w:ascii="Times New Roman" w:hAnsi="Times New Roman"/>
          <w:sz w:val="18"/>
          <w:szCs w:val="18"/>
        </w:rPr>
      </w:pPr>
    </w:p>
    <w:p w14:paraId="3750F40F" w14:textId="77777777" w:rsidR="002541AD" w:rsidRDefault="002541AD">
      <w:pPr>
        <w:rPr>
          <w:rFonts w:ascii="Times New Roman" w:hAnsi="Times New Roman"/>
          <w:sz w:val="20"/>
          <w:szCs w:val="20"/>
        </w:rPr>
      </w:pPr>
    </w:p>
    <w:p w14:paraId="3750F410" w14:textId="77777777" w:rsidR="002541AD" w:rsidRDefault="00901AA6">
      <w:pPr>
        <w:spacing w:line="288" w:lineRule="auto"/>
        <w:rPr>
          <w:rFonts w:ascii="Times New Roman" w:hAnsi="Times New Roman"/>
          <w:sz w:val="20"/>
          <w:szCs w:val="20"/>
        </w:rPr>
      </w:pPr>
      <w:r>
        <w:rPr>
          <w:rFonts w:ascii="Arial" w:eastAsia="宋体" w:hAnsi="Arial" w:cs="Arial"/>
          <w:color w:val="333333"/>
          <w:sz w:val="18"/>
          <w:szCs w:val="18"/>
        </w:rPr>
        <w:t xml:space="preserve">Following are the reconciliations of our most comparable U.S. GAAP measures </w:t>
      </w:r>
      <w:r>
        <w:rPr>
          <w:rFonts w:ascii="Arial" w:eastAsia="宋体" w:hAnsi="Arial" w:cs="Arial"/>
          <w:color w:val="333333"/>
          <w:sz w:val="18"/>
          <w:szCs w:val="18"/>
        </w:rPr>
        <w:t>to our non-GAAP measures presented:</w:t>
      </w:r>
    </w:p>
    <w:tbl>
      <w:tblPr>
        <w:tblW w:w="5000" w:type="pct"/>
        <w:tblCellMar>
          <w:left w:w="0" w:type="dxa"/>
          <w:right w:w="0" w:type="dxa"/>
        </w:tblCellMar>
        <w:tblLook w:val="04A0" w:firstRow="1" w:lastRow="0" w:firstColumn="1" w:lastColumn="0" w:noHBand="0" w:noVBand="1"/>
      </w:tblPr>
      <w:tblGrid>
        <w:gridCol w:w="5997"/>
        <w:gridCol w:w="130"/>
        <w:gridCol w:w="141"/>
        <w:gridCol w:w="682"/>
        <w:gridCol w:w="201"/>
        <w:gridCol w:w="130"/>
        <w:gridCol w:w="141"/>
        <w:gridCol w:w="683"/>
        <w:gridCol w:w="201"/>
      </w:tblGrid>
      <w:tr w:rsidR="002541AD" w14:paraId="3750F412" w14:textId="77777777">
        <w:tc>
          <w:tcPr>
            <w:tcW w:w="0" w:type="auto"/>
            <w:gridSpan w:val="9"/>
            <w:shd w:val="clear" w:color="auto" w:fill="auto"/>
            <w:vAlign w:val="center"/>
          </w:tcPr>
          <w:p w14:paraId="3750F411" w14:textId="77777777" w:rsidR="002541AD" w:rsidRDefault="002541AD">
            <w:pPr>
              <w:rPr>
                <w:rFonts w:ascii="Times New Roman" w:hAnsi="Times New Roman"/>
                <w:sz w:val="20"/>
                <w:szCs w:val="20"/>
              </w:rPr>
            </w:pPr>
          </w:p>
        </w:tc>
      </w:tr>
      <w:tr w:rsidR="002541AD" w14:paraId="3750F41C" w14:textId="77777777">
        <w:tc>
          <w:tcPr>
            <w:tcW w:w="3700" w:type="pct"/>
            <w:shd w:val="clear" w:color="auto" w:fill="auto"/>
            <w:vAlign w:val="center"/>
          </w:tcPr>
          <w:p w14:paraId="3750F413" w14:textId="77777777" w:rsidR="002541AD" w:rsidRDefault="002541AD">
            <w:pPr>
              <w:rPr>
                <w:rFonts w:ascii="Times New Roman" w:hAnsi="Times New Roman"/>
                <w:sz w:val="20"/>
                <w:szCs w:val="20"/>
              </w:rPr>
            </w:pPr>
          </w:p>
        </w:tc>
        <w:tc>
          <w:tcPr>
            <w:tcW w:w="50" w:type="pct"/>
            <w:shd w:val="clear" w:color="auto" w:fill="auto"/>
            <w:vAlign w:val="center"/>
          </w:tcPr>
          <w:p w14:paraId="3750F414" w14:textId="77777777" w:rsidR="002541AD" w:rsidRDefault="002541AD">
            <w:pPr>
              <w:rPr>
                <w:rFonts w:ascii="Times New Roman" w:hAnsi="Times New Roman"/>
                <w:sz w:val="20"/>
                <w:szCs w:val="20"/>
              </w:rPr>
            </w:pPr>
          </w:p>
        </w:tc>
        <w:tc>
          <w:tcPr>
            <w:tcW w:w="50" w:type="pct"/>
            <w:shd w:val="clear" w:color="auto" w:fill="auto"/>
            <w:vAlign w:val="center"/>
          </w:tcPr>
          <w:p w14:paraId="3750F415" w14:textId="77777777" w:rsidR="002541AD" w:rsidRDefault="002541AD">
            <w:pPr>
              <w:rPr>
                <w:rFonts w:ascii="Times New Roman" w:hAnsi="Times New Roman"/>
                <w:sz w:val="20"/>
                <w:szCs w:val="20"/>
              </w:rPr>
            </w:pPr>
          </w:p>
        </w:tc>
        <w:tc>
          <w:tcPr>
            <w:tcW w:w="500" w:type="pct"/>
            <w:shd w:val="clear" w:color="auto" w:fill="auto"/>
            <w:vAlign w:val="center"/>
          </w:tcPr>
          <w:p w14:paraId="3750F416" w14:textId="77777777" w:rsidR="002541AD" w:rsidRDefault="002541AD">
            <w:pPr>
              <w:rPr>
                <w:rFonts w:ascii="Times New Roman" w:hAnsi="Times New Roman"/>
                <w:sz w:val="20"/>
                <w:szCs w:val="20"/>
              </w:rPr>
            </w:pPr>
          </w:p>
        </w:tc>
        <w:tc>
          <w:tcPr>
            <w:tcW w:w="50" w:type="pct"/>
            <w:shd w:val="clear" w:color="auto" w:fill="auto"/>
            <w:vAlign w:val="center"/>
          </w:tcPr>
          <w:p w14:paraId="3750F417" w14:textId="77777777" w:rsidR="002541AD" w:rsidRDefault="002541AD">
            <w:pPr>
              <w:rPr>
                <w:rFonts w:ascii="Times New Roman" w:hAnsi="Times New Roman"/>
                <w:sz w:val="20"/>
                <w:szCs w:val="20"/>
              </w:rPr>
            </w:pPr>
          </w:p>
        </w:tc>
        <w:tc>
          <w:tcPr>
            <w:tcW w:w="50" w:type="pct"/>
            <w:shd w:val="clear" w:color="auto" w:fill="auto"/>
            <w:vAlign w:val="center"/>
          </w:tcPr>
          <w:p w14:paraId="3750F418" w14:textId="77777777" w:rsidR="002541AD" w:rsidRDefault="002541AD">
            <w:pPr>
              <w:rPr>
                <w:rFonts w:ascii="Times New Roman" w:hAnsi="Times New Roman"/>
                <w:sz w:val="20"/>
                <w:szCs w:val="20"/>
              </w:rPr>
            </w:pPr>
          </w:p>
        </w:tc>
        <w:tc>
          <w:tcPr>
            <w:tcW w:w="50" w:type="pct"/>
            <w:shd w:val="clear" w:color="auto" w:fill="auto"/>
            <w:vAlign w:val="center"/>
          </w:tcPr>
          <w:p w14:paraId="3750F419" w14:textId="77777777" w:rsidR="002541AD" w:rsidRDefault="002541AD">
            <w:pPr>
              <w:rPr>
                <w:rFonts w:ascii="Times New Roman" w:hAnsi="Times New Roman"/>
                <w:sz w:val="20"/>
                <w:szCs w:val="20"/>
              </w:rPr>
            </w:pPr>
          </w:p>
        </w:tc>
        <w:tc>
          <w:tcPr>
            <w:tcW w:w="500" w:type="pct"/>
            <w:shd w:val="clear" w:color="auto" w:fill="auto"/>
            <w:vAlign w:val="center"/>
          </w:tcPr>
          <w:p w14:paraId="3750F41A" w14:textId="77777777" w:rsidR="002541AD" w:rsidRDefault="002541AD">
            <w:pPr>
              <w:rPr>
                <w:rFonts w:ascii="Times New Roman" w:hAnsi="Times New Roman"/>
                <w:sz w:val="20"/>
                <w:szCs w:val="20"/>
              </w:rPr>
            </w:pPr>
          </w:p>
        </w:tc>
        <w:tc>
          <w:tcPr>
            <w:tcW w:w="50" w:type="pct"/>
            <w:shd w:val="clear" w:color="auto" w:fill="auto"/>
            <w:vAlign w:val="center"/>
          </w:tcPr>
          <w:p w14:paraId="3750F41B" w14:textId="77777777" w:rsidR="002541AD" w:rsidRDefault="002541AD">
            <w:pPr>
              <w:rPr>
                <w:rFonts w:ascii="Times New Roman" w:hAnsi="Times New Roman"/>
                <w:sz w:val="20"/>
                <w:szCs w:val="20"/>
              </w:rPr>
            </w:pPr>
          </w:p>
        </w:tc>
      </w:tr>
      <w:tr w:rsidR="002541AD" w14:paraId="3750F420" w14:textId="77777777">
        <w:tc>
          <w:tcPr>
            <w:tcW w:w="0" w:type="auto"/>
            <w:shd w:val="clear" w:color="auto" w:fill="auto"/>
            <w:tcMar>
              <w:top w:w="40" w:type="dxa"/>
              <w:left w:w="40" w:type="dxa"/>
              <w:bottom w:w="40" w:type="dxa"/>
              <w:right w:w="40" w:type="dxa"/>
            </w:tcMar>
            <w:vAlign w:val="bottom"/>
          </w:tcPr>
          <w:p w14:paraId="3750F41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41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tcMar>
            <w:vAlign w:val="bottom"/>
          </w:tcPr>
          <w:p w14:paraId="3750F41F"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Three Months Ended</w:t>
            </w:r>
          </w:p>
        </w:tc>
      </w:tr>
      <w:tr w:rsidR="002541AD" w14:paraId="3750F426"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F421"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(In Millions, Except Per Share Amounts)</w:t>
            </w:r>
          </w:p>
        </w:tc>
        <w:tc>
          <w:tcPr>
            <w:tcW w:w="0" w:type="auto"/>
            <w:shd w:val="clear" w:color="auto" w:fill="auto"/>
            <w:tcMar>
              <w:top w:w="40" w:type="dxa"/>
              <w:left w:w="40" w:type="dxa"/>
              <w:bottom w:w="40" w:type="dxa"/>
              <w:right w:w="40" w:type="dxa"/>
            </w:tcMar>
            <w:vAlign w:val="bottom"/>
          </w:tcPr>
          <w:p w14:paraId="3750F42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F423"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28, </w:t>
            </w:r>
            <w:r>
              <w:rPr>
                <w:rFonts w:ascii="Arial" w:eastAsia="宋体" w:hAnsi="Arial" w:cs="Arial"/>
                <w:b/>
                <w:bCs/>
                <w:color w:val="333333"/>
                <w:sz w:val="18"/>
                <w:szCs w:val="18"/>
              </w:rPr>
              <w:br/>
              <w:t>2020</w:t>
            </w:r>
          </w:p>
        </w:tc>
        <w:tc>
          <w:tcPr>
            <w:tcW w:w="0" w:type="auto"/>
            <w:shd w:val="clear" w:color="auto" w:fill="auto"/>
            <w:tcMar>
              <w:top w:w="40" w:type="dxa"/>
              <w:left w:w="40" w:type="dxa"/>
              <w:bottom w:w="40" w:type="dxa"/>
              <w:right w:w="40" w:type="dxa"/>
            </w:tcMar>
            <w:vAlign w:val="bottom"/>
          </w:tcPr>
          <w:p w14:paraId="3750F42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F425"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 xml:space="preserve">Mar 30, </w:t>
            </w:r>
            <w:r>
              <w:rPr>
                <w:rFonts w:ascii="Arial" w:eastAsia="宋体" w:hAnsi="Arial" w:cs="Arial"/>
                <w:b/>
                <w:bCs/>
                <w:color w:val="333333"/>
                <w:sz w:val="18"/>
                <w:szCs w:val="18"/>
              </w:rPr>
              <w:br/>
              <w:t>2019</w:t>
            </w:r>
          </w:p>
        </w:tc>
      </w:tr>
      <w:tr w:rsidR="002541AD" w14:paraId="3750F430" w14:textId="77777777">
        <w:tc>
          <w:tcPr>
            <w:tcW w:w="0" w:type="auto"/>
            <w:shd w:val="clear" w:color="auto" w:fill="auto"/>
            <w:tcMar>
              <w:top w:w="40" w:type="dxa"/>
              <w:left w:w="40" w:type="dxa"/>
              <w:bottom w:w="40" w:type="dxa"/>
              <w:right w:w="40" w:type="dxa"/>
            </w:tcMar>
            <w:vAlign w:val="bottom"/>
          </w:tcPr>
          <w:p w14:paraId="3750F427"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Operating income</w:t>
            </w:r>
          </w:p>
        </w:tc>
        <w:tc>
          <w:tcPr>
            <w:tcW w:w="0" w:type="auto"/>
            <w:shd w:val="clear" w:color="auto" w:fill="auto"/>
            <w:tcMar>
              <w:top w:w="40" w:type="dxa"/>
              <w:left w:w="40" w:type="dxa"/>
              <w:bottom w:w="40" w:type="dxa"/>
              <w:right w:w="40" w:type="dxa"/>
            </w:tcMar>
            <w:vAlign w:val="bottom"/>
          </w:tcPr>
          <w:p w14:paraId="3750F42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429"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F42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7,038</w:t>
            </w:r>
          </w:p>
        </w:tc>
        <w:tc>
          <w:tcPr>
            <w:tcW w:w="0" w:type="auto"/>
            <w:shd w:val="clear" w:color="auto" w:fill="auto"/>
            <w:vAlign w:val="bottom"/>
          </w:tcPr>
          <w:p w14:paraId="3750F42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42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42D"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F42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4,174</w:t>
            </w:r>
          </w:p>
        </w:tc>
        <w:tc>
          <w:tcPr>
            <w:tcW w:w="0" w:type="auto"/>
            <w:shd w:val="clear" w:color="auto" w:fill="auto"/>
            <w:vAlign w:val="bottom"/>
          </w:tcPr>
          <w:p w14:paraId="3750F42F" w14:textId="77777777" w:rsidR="002541AD" w:rsidRDefault="002541AD">
            <w:pPr>
              <w:textAlignment w:val="bottom"/>
              <w:rPr>
                <w:rFonts w:ascii="Times New Roman" w:hAnsi="Times New Roman"/>
                <w:sz w:val="20"/>
                <w:szCs w:val="20"/>
              </w:rPr>
            </w:pPr>
          </w:p>
        </w:tc>
      </w:tr>
      <w:tr w:rsidR="002541AD" w14:paraId="3750F438" w14:textId="77777777">
        <w:tc>
          <w:tcPr>
            <w:tcW w:w="0" w:type="auto"/>
            <w:shd w:val="clear" w:color="auto" w:fill="auto"/>
            <w:tcMar>
              <w:top w:w="40" w:type="dxa"/>
              <w:left w:w="400" w:type="dxa"/>
              <w:bottom w:w="40" w:type="dxa"/>
              <w:right w:w="40" w:type="dxa"/>
            </w:tcMar>
            <w:vAlign w:val="bottom"/>
          </w:tcPr>
          <w:p w14:paraId="3750F431"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Acquisition-related adjustments</w:t>
            </w:r>
          </w:p>
        </w:tc>
        <w:tc>
          <w:tcPr>
            <w:tcW w:w="0" w:type="auto"/>
            <w:shd w:val="clear" w:color="auto" w:fill="auto"/>
            <w:tcMar>
              <w:top w:w="40" w:type="dxa"/>
              <w:left w:w="40" w:type="dxa"/>
              <w:bottom w:w="40" w:type="dxa"/>
              <w:right w:w="40" w:type="dxa"/>
            </w:tcMar>
            <w:vAlign w:val="bottom"/>
          </w:tcPr>
          <w:p w14:paraId="3750F43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43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339</w:t>
            </w:r>
          </w:p>
        </w:tc>
        <w:tc>
          <w:tcPr>
            <w:tcW w:w="0" w:type="auto"/>
            <w:shd w:val="clear" w:color="auto" w:fill="auto"/>
            <w:vAlign w:val="bottom"/>
          </w:tcPr>
          <w:p w14:paraId="3750F43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43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43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331</w:t>
            </w:r>
          </w:p>
        </w:tc>
        <w:tc>
          <w:tcPr>
            <w:tcW w:w="0" w:type="auto"/>
            <w:shd w:val="clear" w:color="auto" w:fill="auto"/>
            <w:vAlign w:val="bottom"/>
          </w:tcPr>
          <w:p w14:paraId="3750F437" w14:textId="77777777" w:rsidR="002541AD" w:rsidRDefault="002541AD">
            <w:pPr>
              <w:textAlignment w:val="bottom"/>
              <w:rPr>
                <w:rFonts w:ascii="Times New Roman" w:hAnsi="Times New Roman"/>
                <w:sz w:val="20"/>
                <w:szCs w:val="20"/>
              </w:rPr>
            </w:pPr>
          </w:p>
        </w:tc>
      </w:tr>
      <w:tr w:rsidR="002541AD" w14:paraId="3750F440" w14:textId="77777777">
        <w:tc>
          <w:tcPr>
            <w:tcW w:w="0" w:type="auto"/>
            <w:shd w:val="clear" w:color="auto" w:fill="auto"/>
            <w:tcMar>
              <w:top w:w="40" w:type="dxa"/>
              <w:left w:w="400" w:type="dxa"/>
              <w:bottom w:w="40" w:type="dxa"/>
              <w:right w:w="40" w:type="dxa"/>
            </w:tcMar>
            <w:vAlign w:val="bottom"/>
          </w:tcPr>
          <w:p w14:paraId="3750F439"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Restructuring and other charges</w:t>
            </w:r>
          </w:p>
        </w:tc>
        <w:tc>
          <w:tcPr>
            <w:tcW w:w="0" w:type="auto"/>
            <w:shd w:val="clear" w:color="auto" w:fill="auto"/>
            <w:tcMar>
              <w:top w:w="40" w:type="dxa"/>
              <w:left w:w="40" w:type="dxa"/>
              <w:bottom w:w="40" w:type="dxa"/>
              <w:right w:w="40" w:type="dxa"/>
            </w:tcMar>
            <w:vAlign w:val="bottom"/>
          </w:tcPr>
          <w:p w14:paraId="3750F43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F43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162</w:t>
            </w:r>
          </w:p>
        </w:tc>
        <w:tc>
          <w:tcPr>
            <w:tcW w:w="0" w:type="auto"/>
            <w:tcBorders>
              <w:bottom w:val="single" w:sz="8" w:space="0" w:color="333333"/>
            </w:tcBorders>
            <w:shd w:val="clear" w:color="auto" w:fill="auto"/>
            <w:vAlign w:val="bottom"/>
          </w:tcPr>
          <w:p w14:paraId="3750F43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43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F43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tcBorders>
              <w:bottom w:val="single" w:sz="8" w:space="0" w:color="333333"/>
            </w:tcBorders>
            <w:shd w:val="clear" w:color="auto" w:fill="auto"/>
            <w:vAlign w:val="bottom"/>
          </w:tcPr>
          <w:p w14:paraId="3750F43F" w14:textId="77777777" w:rsidR="002541AD" w:rsidRDefault="002541AD">
            <w:pPr>
              <w:textAlignment w:val="bottom"/>
              <w:rPr>
                <w:rFonts w:ascii="Times New Roman" w:hAnsi="Times New Roman"/>
                <w:sz w:val="20"/>
                <w:szCs w:val="20"/>
              </w:rPr>
            </w:pPr>
          </w:p>
        </w:tc>
      </w:tr>
      <w:tr w:rsidR="002541AD" w14:paraId="3750F44A" w14:textId="77777777">
        <w:tc>
          <w:tcPr>
            <w:tcW w:w="0" w:type="auto"/>
            <w:shd w:val="clear" w:color="auto" w:fill="auto"/>
            <w:tcMar>
              <w:top w:w="40" w:type="dxa"/>
              <w:left w:w="40" w:type="dxa"/>
              <w:bottom w:w="40" w:type="dxa"/>
              <w:right w:w="40" w:type="dxa"/>
            </w:tcMar>
            <w:vAlign w:val="bottom"/>
          </w:tcPr>
          <w:p w14:paraId="3750F441"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Non-GAAP operating income</w:t>
            </w:r>
          </w:p>
        </w:tc>
        <w:tc>
          <w:tcPr>
            <w:tcW w:w="0" w:type="auto"/>
            <w:shd w:val="clear" w:color="auto" w:fill="auto"/>
            <w:tcMar>
              <w:top w:w="40" w:type="dxa"/>
              <w:left w:w="40" w:type="dxa"/>
              <w:bottom w:w="40" w:type="dxa"/>
              <w:right w:w="40" w:type="dxa"/>
            </w:tcMar>
            <w:vAlign w:val="bottom"/>
          </w:tcPr>
          <w:p w14:paraId="3750F44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F443"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333333"/>
            </w:tcBorders>
            <w:shd w:val="clear" w:color="auto" w:fill="auto"/>
            <w:tcMar>
              <w:top w:w="40" w:type="dxa"/>
              <w:bottom w:w="40" w:type="dxa"/>
            </w:tcMar>
            <w:vAlign w:val="bottom"/>
          </w:tcPr>
          <w:p w14:paraId="3750F444"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7,539</w:t>
            </w:r>
          </w:p>
        </w:tc>
        <w:tc>
          <w:tcPr>
            <w:tcW w:w="0" w:type="auto"/>
            <w:tcBorders>
              <w:top w:val="single" w:sz="8" w:space="0" w:color="333333"/>
              <w:bottom w:val="double" w:sz="6" w:space="0" w:color="333333"/>
            </w:tcBorders>
            <w:shd w:val="clear" w:color="auto" w:fill="auto"/>
            <w:vAlign w:val="bottom"/>
          </w:tcPr>
          <w:p w14:paraId="3750F44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44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333333"/>
            </w:tcBorders>
            <w:shd w:val="clear" w:color="auto" w:fill="auto"/>
            <w:tcMar>
              <w:top w:w="40" w:type="dxa"/>
              <w:left w:w="40" w:type="dxa"/>
              <w:bottom w:w="40" w:type="dxa"/>
            </w:tcMar>
            <w:vAlign w:val="bottom"/>
          </w:tcPr>
          <w:p w14:paraId="3750F447"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bottom w:val="double" w:sz="6" w:space="0" w:color="333333"/>
            </w:tcBorders>
            <w:shd w:val="clear" w:color="auto" w:fill="auto"/>
            <w:tcMar>
              <w:top w:w="40" w:type="dxa"/>
              <w:bottom w:w="40" w:type="dxa"/>
            </w:tcMar>
            <w:vAlign w:val="bottom"/>
          </w:tcPr>
          <w:p w14:paraId="3750F448"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4,505</w:t>
            </w:r>
          </w:p>
        </w:tc>
        <w:tc>
          <w:tcPr>
            <w:tcW w:w="0" w:type="auto"/>
            <w:tcBorders>
              <w:bottom w:val="double" w:sz="6" w:space="0" w:color="333333"/>
            </w:tcBorders>
            <w:shd w:val="clear" w:color="auto" w:fill="auto"/>
            <w:vAlign w:val="bottom"/>
          </w:tcPr>
          <w:p w14:paraId="3750F449" w14:textId="77777777" w:rsidR="002541AD" w:rsidRDefault="002541AD">
            <w:pPr>
              <w:textAlignment w:val="bottom"/>
              <w:rPr>
                <w:rFonts w:ascii="Times New Roman" w:hAnsi="Times New Roman"/>
                <w:sz w:val="20"/>
                <w:szCs w:val="20"/>
              </w:rPr>
            </w:pPr>
          </w:p>
        </w:tc>
      </w:tr>
      <w:tr w:rsidR="002541AD" w14:paraId="3750F450" w14:textId="77777777">
        <w:tc>
          <w:tcPr>
            <w:tcW w:w="0" w:type="auto"/>
            <w:shd w:val="clear" w:color="auto" w:fill="auto"/>
            <w:tcMar>
              <w:top w:w="40" w:type="dxa"/>
              <w:left w:w="40" w:type="dxa"/>
              <w:bottom w:w="40" w:type="dxa"/>
              <w:right w:w="40" w:type="dxa"/>
            </w:tcMar>
            <w:vAlign w:val="bottom"/>
          </w:tcPr>
          <w:p w14:paraId="3750F44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44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F44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44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F44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458" w14:textId="77777777">
        <w:tc>
          <w:tcPr>
            <w:tcW w:w="0" w:type="auto"/>
            <w:shd w:val="clear" w:color="auto" w:fill="auto"/>
            <w:tcMar>
              <w:top w:w="40" w:type="dxa"/>
              <w:left w:w="40" w:type="dxa"/>
              <w:bottom w:w="40" w:type="dxa"/>
              <w:right w:w="40" w:type="dxa"/>
            </w:tcMar>
            <w:vAlign w:val="bottom"/>
          </w:tcPr>
          <w:p w14:paraId="3750F451"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Operating margin</w:t>
            </w:r>
          </w:p>
        </w:tc>
        <w:tc>
          <w:tcPr>
            <w:tcW w:w="0" w:type="auto"/>
            <w:shd w:val="clear" w:color="auto" w:fill="auto"/>
            <w:tcMar>
              <w:top w:w="40" w:type="dxa"/>
              <w:left w:w="40" w:type="dxa"/>
              <w:bottom w:w="40" w:type="dxa"/>
              <w:right w:w="40" w:type="dxa"/>
            </w:tcMar>
            <w:vAlign w:val="bottom"/>
          </w:tcPr>
          <w:p w14:paraId="3750F45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45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35.5</w:t>
            </w:r>
          </w:p>
        </w:tc>
        <w:tc>
          <w:tcPr>
            <w:tcW w:w="0" w:type="auto"/>
            <w:shd w:val="clear" w:color="auto" w:fill="auto"/>
            <w:tcMar>
              <w:top w:w="40" w:type="dxa"/>
              <w:bottom w:w="40" w:type="dxa"/>
              <w:right w:w="40" w:type="dxa"/>
            </w:tcMar>
            <w:vAlign w:val="bottom"/>
          </w:tcPr>
          <w:p w14:paraId="3750F454"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F45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45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26.0</w:t>
            </w:r>
          </w:p>
        </w:tc>
        <w:tc>
          <w:tcPr>
            <w:tcW w:w="0" w:type="auto"/>
            <w:shd w:val="clear" w:color="auto" w:fill="auto"/>
            <w:tcMar>
              <w:top w:w="40" w:type="dxa"/>
              <w:bottom w:w="40" w:type="dxa"/>
              <w:right w:w="40" w:type="dxa"/>
            </w:tcMar>
            <w:vAlign w:val="bottom"/>
          </w:tcPr>
          <w:p w14:paraId="3750F457"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F460" w14:textId="77777777">
        <w:tc>
          <w:tcPr>
            <w:tcW w:w="0" w:type="auto"/>
            <w:shd w:val="clear" w:color="auto" w:fill="auto"/>
            <w:tcMar>
              <w:top w:w="40" w:type="dxa"/>
              <w:left w:w="400" w:type="dxa"/>
              <w:bottom w:w="40" w:type="dxa"/>
              <w:right w:w="40" w:type="dxa"/>
            </w:tcMar>
            <w:vAlign w:val="bottom"/>
          </w:tcPr>
          <w:p w14:paraId="3750F459"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Acquisition-related adjustments</w:t>
            </w:r>
          </w:p>
        </w:tc>
        <w:tc>
          <w:tcPr>
            <w:tcW w:w="0" w:type="auto"/>
            <w:shd w:val="clear" w:color="auto" w:fill="auto"/>
            <w:tcMar>
              <w:top w:w="40" w:type="dxa"/>
              <w:left w:w="40" w:type="dxa"/>
              <w:bottom w:w="40" w:type="dxa"/>
              <w:right w:w="40" w:type="dxa"/>
            </w:tcMar>
            <w:vAlign w:val="bottom"/>
          </w:tcPr>
          <w:p w14:paraId="3750F45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45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1.7</w:t>
            </w:r>
          </w:p>
        </w:tc>
        <w:tc>
          <w:tcPr>
            <w:tcW w:w="0" w:type="auto"/>
            <w:shd w:val="clear" w:color="auto" w:fill="auto"/>
            <w:tcMar>
              <w:top w:w="40" w:type="dxa"/>
              <w:bottom w:w="40" w:type="dxa"/>
              <w:right w:w="40" w:type="dxa"/>
            </w:tcMar>
            <w:vAlign w:val="bottom"/>
          </w:tcPr>
          <w:p w14:paraId="3750F45C"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F45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45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2.1</w:t>
            </w:r>
          </w:p>
        </w:tc>
        <w:tc>
          <w:tcPr>
            <w:tcW w:w="0" w:type="auto"/>
            <w:shd w:val="clear" w:color="auto" w:fill="auto"/>
            <w:tcMar>
              <w:top w:w="40" w:type="dxa"/>
              <w:bottom w:w="40" w:type="dxa"/>
              <w:right w:w="40" w:type="dxa"/>
            </w:tcMar>
            <w:vAlign w:val="bottom"/>
          </w:tcPr>
          <w:p w14:paraId="3750F45F"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F468" w14:textId="77777777">
        <w:tc>
          <w:tcPr>
            <w:tcW w:w="0" w:type="auto"/>
            <w:shd w:val="clear" w:color="auto" w:fill="auto"/>
            <w:tcMar>
              <w:top w:w="40" w:type="dxa"/>
              <w:left w:w="400" w:type="dxa"/>
              <w:bottom w:w="40" w:type="dxa"/>
              <w:right w:w="40" w:type="dxa"/>
            </w:tcMar>
            <w:vAlign w:val="bottom"/>
          </w:tcPr>
          <w:p w14:paraId="3750F461"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Restructuring and other charges</w:t>
            </w:r>
          </w:p>
        </w:tc>
        <w:tc>
          <w:tcPr>
            <w:tcW w:w="0" w:type="auto"/>
            <w:shd w:val="clear" w:color="auto" w:fill="auto"/>
            <w:tcMar>
              <w:top w:w="40" w:type="dxa"/>
              <w:left w:w="40" w:type="dxa"/>
              <w:bottom w:w="40" w:type="dxa"/>
              <w:right w:w="40" w:type="dxa"/>
            </w:tcMar>
            <w:vAlign w:val="bottom"/>
          </w:tcPr>
          <w:p w14:paraId="3750F46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46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0.8</w:t>
            </w:r>
          </w:p>
        </w:tc>
        <w:tc>
          <w:tcPr>
            <w:tcW w:w="0" w:type="auto"/>
            <w:shd w:val="clear" w:color="auto" w:fill="auto"/>
            <w:tcMar>
              <w:top w:w="40" w:type="dxa"/>
              <w:bottom w:w="40" w:type="dxa"/>
              <w:right w:w="40" w:type="dxa"/>
            </w:tcMar>
            <w:vAlign w:val="bottom"/>
          </w:tcPr>
          <w:p w14:paraId="3750F464"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F46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46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right w:w="40" w:type="dxa"/>
            </w:tcMar>
            <w:vAlign w:val="bottom"/>
          </w:tcPr>
          <w:p w14:paraId="3750F467"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F470" w14:textId="77777777">
        <w:tc>
          <w:tcPr>
            <w:tcW w:w="0" w:type="auto"/>
            <w:shd w:val="clear" w:color="auto" w:fill="auto"/>
            <w:tcMar>
              <w:top w:w="40" w:type="dxa"/>
              <w:left w:w="40" w:type="dxa"/>
              <w:bottom w:w="40" w:type="dxa"/>
              <w:right w:w="40" w:type="dxa"/>
            </w:tcMar>
            <w:vAlign w:val="bottom"/>
          </w:tcPr>
          <w:p w14:paraId="3750F469"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 xml:space="preserve">Non-GAAP </w:t>
            </w:r>
            <w:r>
              <w:rPr>
                <w:rFonts w:ascii="Arial" w:eastAsia="宋体" w:hAnsi="Arial" w:cs="Arial"/>
                <w:b/>
                <w:bCs/>
                <w:color w:val="333333"/>
                <w:sz w:val="18"/>
                <w:szCs w:val="18"/>
              </w:rPr>
              <w:t>operating margin</w:t>
            </w:r>
          </w:p>
        </w:tc>
        <w:tc>
          <w:tcPr>
            <w:tcW w:w="0" w:type="auto"/>
            <w:shd w:val="clear" w:color="auto" w:fill="auto"/>
            <w:tcMar>
              <w:top w:w="40" w:type="dxa"/>
              <w:left w:w="40" w:type="dxa"/>
              <w:bottom w:w="40" w:type="dxa"/>
              <w:right w:w="40" w:type="dxa"/>
            </w:tcMar>
            <w:vAlign w:val="bottom"/>
          </w:tcPr>
          <w:p w14:paraId="3750F46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double" w:sz="6" w:space="0" w:color="000000"/>
            </w:tcBorders>
            <w:shd w:val="clear" w:color="auto" w:fill="auto"/>
            <w:tcMar>
              <w:top w:w="40" w:type="dxa"/>
              <w:left w:w="40" w:type="dxa"/>
              <w:bottom w:w="40" w:type="dxa"/>
            </w:tcMar>
            <w:vAlign w:val="bottom"/>
          </w:tcPr>
          <w:p w14:paraId="3750F46B"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38.0</w:t>
            </w:r>
          </w:p>
        </w:tc>
        <w:tc>
          <w:tcPr>
            <w:tcW w:w="0" w:type="auto"/>
            <w:tcBorders>
              <w:top w:val="single" w:sz="8" w:space="0" w:color="333333"/>
              <w:bottom w:val="double" w:sz="6" w:space="0" w:color="000000"/>
            </w:tcBorders>
            <w:shd w:val="clear" w:color="auto" w:fill="auto"/>
            <w:tcMar>
              <w:top w:w="40" w:type="dxa"/>
              <w:bottom w:w="40" w:type="dxa"/>
              <w:right w:w="40" w:type="dxa"/>
            </w:tcMar>
            <w:vAlign w:val="bottom"/>
          </w:tcPr>
          <w:p w14:paraId="3750F46C"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3750F46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333333"/>
              <w:bottom w:val="double" w:sz="6" w:space="0" w:color="000000"/>
            </w:tcBorders>
            <w:shd w:val="clear" w:color="auto" w:fill="auto"/>
            <w:tcMar>
              <w:top w:w="40" w:type="dxa"/>
              <w:left w:w="40" w:type="dxa"/>
              <w:bottom w:w="40" w:type="dxa"/>
            </w:tcMar>
            <w:vAlign w:val="bottom"/>
          </w:tcPr>
          <w:p w14:paraId="3750F46E"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28.0</w:t>
            </w:r>
          </w:p>
        </w:tc>
        <w:tc>
          <w:tcPr>
            <w:tcW w:w="0" w:type="auto"/>
            <w:tcBorders>
              <w:top w:val="single" w:sz="8" w:space="0" w:color="333333"/>
              <w:bottom w:val="double" w:sz="6" w:space="0" w:color="000000"/>
            </w:tcBorders>
            <w:shd w:val="clear" w:color="auto" w:fill="auto"/>
            <w:tcMar>
              <w:top w:w="40" w:type="dxa"/>
              <w:bottom w:w="40" w:type="dxa"/>
              <w:right w:w="40" w:type="dxa"/>
            </w:tcMar>
            <w:vAlign w:val="bottom"/>
          </w:tcPr>
          <w:p w14:paraId="3750F46F"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r>
      <w:tr w:rsidR="002541AD" w14:paraId="3750F476" w14:textId="77777777">
        <w:tc>
          <w:tcPr>
            <w:tcW w:w="0" w:type="auto"/>
            <w:shd w:val="clear" w:color="auto" w:fill="auto"/>
            <w:tcMar>
              <w:top w:w="40" w:type="dxa"/>
              <w:left w:w="40" w:type="dxa"/>
              <w:bottom w:w="40" w:type="dxa"/>
              <w:right w:w="40" w:type="dxa"/>
            </w:tcMar>
            <w:vAlign w:val="bottom"/>
          </w:tcPr>
          <w:p w14:paraId="3750F47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47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F47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47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F47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480" w14:textId="77777777">
        <w:tc>
          <w:tcPr>
            <w:tcW w:w="0" w:type="auto"/>
            <w:shd w:val="clear" w:color="auto" w:fill="auto"/>
            <w:tcMar>
              <w:top w:w="40" w:type="dxa"/>
              <w:left w:w="40" w:type="dxa"/>
              <w:bottom w:w="40" w:type="dxa"/>
              <w:right w:w="40" w:type="dxa"/>
            </w:tcMar>
            <w:vAlign w:val="bottom"/>
          </w:tcPr>
          <w:p w14:paraId="3750F477"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Earnings per share—diluted</w:t>
            </w:r>
          </w:p>
        </w:tc>
        <w:tc>
          <w:tcPr>
            <w:tcW w:w="0" w:type="auto"/>
            <w:shd w:val="clear" w:color="auto" w:fill="auto"/>
            <w:tcMar>
              <w:top w:w="40" w:type="dxa"/>
              <w:left w:w="40" w:type="dxa"/>
              <w:bottom w:w="40" w:type="dxa"/>
              <w:right w:w="40" w:type="dxa"/>
            </w:tcMar>
            <w:vAlign w:val="bottom"/>
          </w:tcPr>
          <w:p w14:paraId="3750F47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479"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F47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1.31</w:t>
            </w:r>
          </w:p>
        </w:tc>
        <w:tc>
          <w:tcPr>
            <w:tcW w:w="0" w:type="auto"/>
            <w:shd w:val="clear" w:color="auto" w:fill="auto"/>
            <w:vAlign w:val="bottom"/>
          </w:tcPr>
          <w:p w14:paraId="3750F47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47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47D"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F47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0.87</w:t>
            </w:r>
          </w:p>
        </w:tc>
        <w:tc>
          <w:tcPr>
            <w:tcW w:w="0" w:type="auto"/>
            <w:shd w:val="clear" w:color="auto" w:fill="auto"/>
            <w:vAlign w:val="bottom"/>
          </w:tcPr>
          <w:p w14:paraId="3750F47F" w14:textId="77777777" w:rsidR="002541AD" w:rsidRDefault="002541AD">
            <w:pPr>
              <w:textAlignment w:val="bottom"/>
              <w:rPr>
                <w:rFonts w:ascii="Times New Roman" w:hAnsi="Times New Roman"/>
                <w:sz w:val="20"/>
                <w:szCs w:val="20"/>
              </w:rPr>
            </w:pPr>
          </w:p>
        </w:tc>
      </w:tr>
      <w:tr w:rsidR="002541AD" w14:paraId="3750F488" w14:textId="77777777">
        <w:tc>
          <w:tcPr>
            <w:tcW w:w="0" w:type="auto"/>
            <w:shd w:val="clear" w:color="auto" w:fill="auto"/>
            <w:tcMar>
              <w:top w:w="40" w:type="dxa"/>
              <w:left w:w="400" w:type="dxa"/>
              <w:bottom w:w="40" w:type="dxa"/>
              <w:right w:w="40" w:type="dxa"/>
            </w:tcMar>
            <w:vAlign w:val="bottom"/>
          </w:tcPr>
          <w:p w14:paraId="3750F481"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Acquisition-related adjustments</w:t>
            </w:r>
          </w:p>
        </w:tc>
        <w:tc>
          <w:tcPr>
            <w:tcW w:w="0" w:type="auto"/>
            <w:shd w:val="clear" w:color="auto" w:fill="auto"/>
            <w:tcMar>
              <w:top w:w="40" w:type="dxa"/>
              <w:left w:w="40" w:type="dxa"/>
              <w:bottom w:w="40" w:type="dxa"/>
              <w:right w:w="40" w:type="dxa"/>
            </w:tcMar>
            <w:vAlign w:val="bottom"/>
          </w:tcPr>
          <w:p w14:paraId="3750F48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48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0.08</w:t>
            </w:r>
          </w:p>
        </w:tc>
        <w:tc>
          <w:tcPr>
            <w:tcW w:w="0" w:type="auto"/>
            <w:shd w:val="clear" w:color="auto" w:fill="auto"/>
            <w:vAlign w:val="bottom"/>
          </w:tcPr>
          <w:p w14:paraId="3750F48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48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48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0.07</w:t>
            </w:r>
          </w:p>
        </w:tc>
        <w:tc>
          <w:tcPr>
            <w:tcW w:w="0" w:type="auto"/>
            <w:shd w:val="clear" w:color="auto" w:fill="auto"/>
            <w:vAlign w:val="bottom"/>
          </w:tcPr>
          <w:p w14:paraId="3750F487" w14:textId="77777777" w:rsidR="002541AD" w:rsidRDefault="002541AD">
            <w:pPr>
              <w:textAlignment w:val="bottom"/>
              <w:rPr>
                <w:rFonts w:ascii="Times New Roman" w:hAnsi="Times New Roman"/>
                <w:sz w:val="20"/>
                <w:szCs w:val="20"/>
              </w:rPr>
            </w:pPr>
          </w:p>
        </w:tc>
      </w:tr>
      <w:tr w:rsidR="002541AD" w14:paraId="3750F490" w14:textId="77777777">
        <w:tc>
          <w:tcPr>
            <w:tcW w:w="0" w:type="auto"/>
            <w:shd w:val="clear" w:color="auto" w:fill="auto"/>
            <w:tcMar>
              <w:top w:w="40" w:type="dxa"/>
              <w:left w:w="400" w:type="dxa"/>
              <w:bottom w:w="40" w:type="dxa"/>
              <w:right w:w="40" w:type="dxa"/>
            </w:tcMar>
            <w:vAlign w:val="bottom"/>
          </w:tcPr>
          <w:p w14:paraId="3750F489"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Restructuring and other charges</w:t>
            </w:r>
          </w:p>
        </w:tc>
        <w:tc>
          <w:tcPr>
            <w:tcW w:w="0" w:type="auto"/>
            <w:shd w:val="clear" w:color="auto" w:fill="auto"/>
            <w:tcMar>
              <w:top w:w="40" w:type="dxa"/>
              <w:left w:w="40" w:type="dxa"/>
              <w:bottom w:w="40" w:type="dxa"/>
              <w:right w:w="40" w:type="dxa"/>
            </w:tcMar>
            <w:vAlign w:val="bottom"/>
          </w:tcPr>
          <w:p w14:paraId="3750F48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48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0.04</w:t>
            </w:r>
          </w:p>
        </w:tc>
        <w:tc>
          <w:tcPr>
            <w:tcW w:w="0" w:type="auto"/>
            <w:shd w:val="clear" w:color="auto" w:fill="auto"/>
            <w:vAlign w:val="bottom"/>
          </w:tcPr>
          <w:p w14:paraId="3750F48C"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48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48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F48F" w14:textId="77777777" w:rsidR="002541AD" w:rsidRDefault="002541AD">
            <w:pPr>
              <w:textAlignment w:val="bottom"/>
              <w:rPr>
                <w:rFonts w:ascii="Times New Roman" w:hAnsi="Times New Roman"/>
                <w:sz w:val="20"/>
                <w:szCs w:val="20"/>
              </w:rPr>
            </w:pPr>
          </w:p>
        </w:tc>
      </w:tr>
      <w:tr w:rsidR="002541AD" w14:paraId="3750F498" w14:textId="77777777">
        <w:tc>
          <w:tcPr>
            <w:tcW w:w="0" w:type="auto"/>
            <w:shd w:val="clear" w:color="auto" w:fill="auto"/>
            <w:tcMar>
              <w:top w:w="40" w:type="dxa"/>
              <w:left w:w="400" w:type="dxa"/>
              <w:bottom w:w="40" w:type="dxa"/>
              <w:right w:w="40" w:type="dxa"/>
            </w:tcMar>
            <w:vAlign w:val="bottom"/>
          </w:tcPr>
          <w:p w14:paraId="3750F491"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xml:space="preserve">Ongoing mark-to-market on marketable equity securities </w:t>
            </w:r>
          </w:p>
        </w:tc>
        <w:tc>
          <w:tcPr>
            <w:tcW w:w="0" w:type="auto"/>
            <w:shd w:val="clear" w:color="auto" w:fill="auto"/>
            <w:tcMar>
              <w:top w:w="40" w:type="dxa"/>
              <w:left w:w="40" w:type="dxa"/>
              <w:bottom w:w="40" w:type="dxa"/>
              <w:right w:w="40" w:type="dxa"/>
            </w:tcMar>
            <w:vAlign w:val="bottom"/>
          </w:tcPr>
          <w:p w14:paraId="3750F49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49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0.03</w:t>
            </w:r>
          </w:p>
        </w:tc>
        <w:tc>
          <w:tcPr>
            <w:tcW w:w="0" w:type="auto"/>
            <w:shd w:val="clear" w:color="auto" w:fill="auto"/>
            <w:vAlign w:val="bottom"/>
          </w:tcPr>
          <w:p w14:paraId="3750F49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49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496"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(0.05</w:t>
            </w:r>
          </w:p>
        </w:tc>
        <w:tc>
          <w:tcPr>
            <w:tcW w:w="0" w:type="auto"/>
            <w:shd w:val="clear" w:color="auto" w:fill="auto"/>
            <w:tcMar>
              <w:top w:w="40" w:type="dxa"/>
              <w:bottom w:w="40" w:type="dxa"/>
              <w:right w:w="40" w:type="dxa"/>
            </w:tcMar>
            <w:vAlign w:val="bottom"/>
          </w:tcPr>
          <w:p w14:paraId="3750F497"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F4A0" w14:textId="77777777">
        <w:tc>
          <w:tcPr>
            <w:tcW w:w="0" w:type="auto"/>
            <w:shd w:val="clear" w:color="auto" w:fill="auto"/>
            <w:tcMar>
              <w:top w:w="40" w:type="dxa"/>
              <w:left w:w="400" w:type="dxa"/>
              <w:bottom w:w="40" w:type="dxa"/>
              <w:right w:w="40" w:type="dxa"/>
            </w:tcMar>
            <w:vAlign w:val="bottom"/>
          </w:tcPr>
          <w:p w14:paraId="3750F499"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Income tax effect</w:t>
            </w:r>
          </w:p>
        </w:tc>
        <w:tc>
          <w:tcPr>
            <w:tcW w:w="0" w:type="auto"/>
            <w:shd w:val="clear" w:color="auto" w:fill="auto"/>
            <w:tcMar>
              <w:top w:w="40" w:type="dxa"/>
              <w:left w:w="40" w:type="dxa"/>
              <w:bottom w:w="40" w:type="dxa"/>
              <w:right w:w="40" w:type="dxa"/>
            </w:tcMar>
            <w:vAlign w:val="bottom"/>
          </w:tcPr>
          <w:p w14:paraId="3750F49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49B"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(0.01</w:t>
            </w:r>
          </w:p>
        </w:tc>
        <w:tc>
          <w:tcPr>
            <w:tcW w:w="0" w:type="auto"/>
            <w:shd w:val="clear" w:color="auto" w:fill="auto"/>
            <w:tcMar>
              <w:top w:w="40" w:type="dxa"/>
              <w:bottom w:w="40" w:type="dxa"/>
              <w:right w:w="40" w:type="dxa"/>
            </w:tcMar>
            <w:vAlign w:val="bottom"/>
          </w:tcPr>
          <w:p w14:paraId="3750F49C"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F49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49E"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vAlign w:val="bottom"/>
          </w:tcPr>
          <w:p w14:paraId="3750F49F" w14:textId="77777777" w:rsidR="002541AD" w:rsidRDefault="002541AD">
            <w:pPr>
              <w:textAlignment w:val="bottom"/>
              <w:rPr>
                <w:rFonts w:ascii="Times New Roman" w:hAnsi="Times New Roman"/>
                <w:sz w:val="20"/>
                <w:szCs w:val="20"/>
              </w:rPr>
            </w:pPr>
          </w:p>
        </w:tc>
      </w:tr>
      <w:tr w:rsidR="002541AD" w14:paraId="3750F4AA" w14:textId="77777777">
        <w:tc>
          <w:tcPr>
            <w:tcW w:w="0" w:type="auto"/>
            <w:shd w:val="clear" w:color="auto" w:fill="auto"/>
            <w:tcMar>
              <w:top w:w="40" w:type="dxa"/>
              <w:left w:w="40" w:type="dxa"/>
              <w:bottom w:w="40" w:type="dxa"/>
              <w:right w:w="40" w:type="dxa"/>
            </w:tcMar>
            <w:vAlign w:val="bottom"/>
          </w:tcPr>
          <w:p w14:paraId="3750F4A1"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Non-GAAP earnings per share—diluted</w:t>
            </w:r>
          </w:p>
        </w:tc>
        <w:tc>
          <w:tcPr>
            <w:tcW w:w="0" w:type="auto"/>
            <w:shd w:val="clear" w:color="auto" w:fill="auto"/>
            <w:tcMar>
              <w:top w:w="40" w:type="dxa"/>
              <w:left w:w="40" w:type="dxa"/>
              <w:bottom w:w="40" w:type="dxa"/>
              <w:right w:w="40" w:type="dxa"/>
            </w:tcMar>
            <w:vAlign w:val="bottom"/>
          </w:tcPr>
          <w:p w14:paraId="3750F4A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000000"/>
            </w:tcBorders>
            <w:shd w:val="clear" w:color="auto" w:fill="auto"/>
            <w:tcMar>
              <w:top w:w="40" w:type="dxa"/>
              <w:left w:w="40" w:type="dxa"/>
              <w:bottom w:w="40" w:type="dxa"/>
            </w:tcMar>
            <w:vAlign w:val="bottom"/>
          </w:tcPr>
          <w:p w14:paraId="3750F4A3"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000000"/>
            </w:tcBorders>
            <w:shd w:val="clear" w:color="auto" w:fill="auto"/>
            <w:tcMar>
              <w:top w:w="40" w:type="dxa"/>
              <w:bottom w:w="40" w:type="dxa"/>
            </w:tcMar>
            <w:vAlign w:val="bottom"/>
          </w:tcPr>
          <w:p w14:paraId="3750F4A4"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1.45</w:t>
            </w:r>
          </w:p>
        </w:tc>
        <w:tc>
          <w:tcPr>
            <w:tcW w:w="0" w:type="auto"/>
            <w:tcBorders>
              <w:top w:val="single" w:sz="8" w:space="0" w:color="333333"/>
              <w:bottom w:val="double" w:sz="6" w:space="0" w:color="000000"/>
            </w:tcBorders>
            <w:shd w:val="clear" w:color="auto" w:fill="auto"/>
            <w:vAlign w:val="bottom"/>
          </w:tcPr>
          <w:p w14:paraId="3750F4A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4A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000000"/>
            </w:tcBorders>
            <w:shd w:val="clear" w:color="auto" w:fill="auto"/>
            <w:tcMar>
              <w:top w:w="40" w:type="dxa"/>
              <w:left w:w="40" w:type="dxa"/>
              <w:bottom w:w="40" w:type="dxa"/>
            </w:tcMar>
            <w:vAlign w:val="bottom"/>
          </w:tcPr>
          <w:p w14:paraId="3750F4A7"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000000"/>
            </w:tcBorders>
            <w:shd w:val="clear" w:color="auto" w:fill="auto"/>
            <w:tcMar>
              <w:top w:w="40" w:type="dxa"/>
              <w:bottom w:w="40" w:type="dxa"/>
            </w:tcMar>
            <w:vAlign w:val="bottom"/>
          </w:tcPr>
          <w:p w14:paraId="3750F4A8"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0.89</w:t>
            </w:r>
          </w:p>
        </w:tc>
        <w:tc>
          <w:tcPr>
            <w:tcW w:w="0" w:type="auto"/>
            <w:tcBorders>
              <w:top w:val="single" w:sz="8" w:space="0" w:color="333333"/>
              <w:bottom w:val="double" w:sz="6" w:space="0" w:color="000000"/>
            </w:tcBorders>
            <w:shd w:val="clear" w:color="auto" w:fill="auto"/>
            <w:vAlign w:val="bottom"/>
          </w:tcPr>
          <w:p w14:paraId="3750F4A9" w14:textId="77777777" w:rsidR="002541AD" w:rsidRDefault="002541AD">
            <w:pPr>
              <w:textAlignment w:val="bottom"/>
              <w:rPr>
                <w:rFonts w:ascii="Times New Roman" w:hAnsi="Times New Roman"/>
                <w:sz w:val="20"/>
                <w:szCs w:val="20"/>
              </w:rPr>
            </w:pPr>
          </w:p>
        </w:tc>
      </w:tr>
      <w:tr w:rsidR="002541AD" w14:paraId="3750F4B0" w14:textId="77777777">
        <w:tc>
          <w:tcPr>
            <w:tcW w:w="0" w:type="auto"/>
            <w:shd w:val="clear" w:color="auto" w:fill="auto"/>
            <w:tcMar>
              <w:top w:w="40" w:type="dxa"/>
              <w:left w:w="40" w:type="dxa"/>
              <w:bottom w:w="40" w:type="dxa"/>
              <w:right w:w="40" w:type="dxa"/>
            </w:tcMar>
            <w:vAlign w:val="bottom"/>
          </w:tcPr>
          <w:p w14:paraId="3750F4A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4A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F4A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4A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F4A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4BA" w14:textId="77777777">
        <w:tc>
          <w:tcPr>
            <w:tcW w:w="0" w:type="auto"/>
            <w:shd w:val="clear" w:color="auto" w:fill="auto"/>
            <w:tcMar>
              <w:top w:w="40" w:type="dxa"/>
              <w:left w:w="40" w:type="dxa"/>
              <w:bottom w:w="40" w:type="dxa"/>
              <w:right w:w="40" w:type="dxa"/>
            </w:tcMar>
            <w:vAlign w:val="bottom"/>
          </w:tcPr>
          <w:p w14:paraId="3750F4B1"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Net cash provided by operating activities</w:t>
            </w:r>
          </w:p>
        </w:tc>
        <w:tc>
          <w:tcPr>
            <w:tcW w:w="0" w:type="auto"/>
            <w:shd w:val="clear" w:color="auto" w:fill="auto"/>
            <w:tcMar>
              <w:top w:w="40" w:type="dxa"/>
              <w:left w:w="40" w:type="dxa"/>
              <w:bottom w:w="40" w:type="dxa"/>
              <w:right w:w="40" w:type="dxa"/>
            </w:tcMar>
            <w:vAlign w:val="bottom"/>
          </w:tcPr>
          <w:p w14:paraId="3750F4B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4B3"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F4B4"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6,158</w:t>
            </w:r>
          </w:p>
        </w:tc>
        <w:tc>
          <w:tcPr>
            <w:tcW w:w="0" w:type="auto"/>
            <w:shd w:val="clear" w:color="auto" w:fill="auto"/>
            <w:vAlign w:val="bottom"/>
          </w:tcPr>
          <w:p w14:paraId="3750F4B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4B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4B7"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c>
          <w:tcPr>
            <w:tcW w:w="0" w:type="auto"/>
            <w:shd w:val="clear" w:color="auto" w:fill="auto"/>
            <w:tcMar>
              <w:top w:w="40" w:type="dxa"/>
              <w:bottom w:w="40" w:type="dxa"/>
            </w:tcMar>
            <w:vAlign w:val="bottom"/>
          </w:tcPr>
          <w:p w14:paraId="3750F4B8"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4,959</w:t>
            </w:r>
          </w:p>
        </w:tc>
        <w:tc>
          <w:tcPr>
            <w:tcW w:w="0" w:type="auto"/>
            <w:shd w:val="clear" w:color="auto" w:fill="auto"/>
            <w:vAlign w:val="bottom"/>
          </w:tcPr>
          <w:p w14:paraId="3750F4B9" w14:textId="77777777" w:rsidR="002541AD" w:rsidRDefault="002541AD">
            <w:pPr>
              <w:textAlignment w:val="bottom"/>
              <w:rPr>
                <w:rFonts w:ascii="Times New Roman" w:hAnsi="Times New Roman"/>
                <w:sz w:val="20"/>
                <w:szCs w:val="20"/>
              </w:rPr>
            </w:pPr>
          </w:p>
        </w:tc>
      </w:tr>
      <w:tr w:rsidR="002541AD" w14:paraId="3750F4C2" w14:textId="77777777">
        <w:tc>
          <w:tcPr>
            <w:tcW w:w="0" w:type="auto"/>
            <w:shd w:val="clear" w:color="auto" w:fill="auto"/>
            <w:tcMar>
              <w:top w:w="40" w:type="dxa"/>
              <w:left w:w="240" w:type="dxa"/>
              <w:bottom w:w="40" w:type="dxa"/>
              <w:right w:w="40" w:type="dxa"/>
            </w:tcMar>
            <w:vAlign w:val="bottom"/>
          </w:tcPr>
          <w:p w14:paraId="3750F4BB"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Additions to property, plant and equipment</w:t>
            </w:r>
          </w:p>
        </w:tc>
        <w:tc>
          <w:tcPr>
            <w:tcW w:w="0" w:type="auto"/>
            <w:shd w:val="clear" w:color="auto" w:fill="auto"/>
            <w:tcMar>
              <w:top w:w="40" w:type="dxa"/>
              <w:left w:w="40" w:type="dxa"/>
              <w:bottom w:w="40" w:type="dxa"/>
              <w:right w:w="40" w:type="dxa"/>
            </w:tcMar>
            <w:vAlign w:val="bottom"/>
          </w:tcPr>
          <w:p w14:paraId="3750F4B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333333"/>
            </w:tcBorders>
            <w:shd w:val="clear" w:color="auto" w:fill="auto"/>
            <w:tcMar>
              <w:top w:w="40" w:type="dxa"/>
              <w:left w:w="40" w:type="dxa"/>
              <w:bottom w:w="40" w:type="dxa"/>
            </w:tcMar>
            <w:vAlign w:val="bottom"/>
          </w:tcPr>
          <w:p w14:paraId="3750F4BD"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(3,268</w:t>
            </w:r>
          </w:p>
        </w:tc>
        <w:tc>
          <w:tcPr>
            <w:tcW w:w="0" w:type="auto"/>
            <w:tcBorders>
              <w:bottom w:val="single" w:sz="8" w:space="0" w:color="333333"/>
            </w:tcBorders>
            <w:shd w:val="clear" w:color="auto" w:fill="auto"/>
            <w:tcMar>
              <w:top w:w="40" w:type="dxa"/>
              <w:bottom w:w="40" w:type="dxa"/>
              <w:right w:w="40" w:type="dxa"/>
            </w:tcMar>
            <w:vAlign w:val="bottom"/>
          </w:tcPr>
          <w:p w14:paraId="3750F4BE"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left w:w="40" w:type="dxa"/>
              <w:bottom w:w="40" w:type="dxa"/>
              <w:right w:w="40" w:type="dxa"/>
            </w:tcMar>
            <w:vAlign w:val="bottom"/>
          </w:tcPr>
          <w:p w14:paraId="3750F4B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3750F4C0" w14:textId="77777777" w:rsidR="002541AD" w:rsidRDefault="00901AA6">
            <w:pPr>
              <w:jc w:val="right"/>
              <w:textAlignment w:val="bottom"/>
              <w:rPr>
                <w:rFonts w:ascii="Times New Roman" w:hAnsi="Times New Roman"/>
                <w:sz w:val="18"/>
                <w:szCs w:val="18"/>
              </w:rPr>
            </w:pPr>
            <w:r>
              <w:rPr>
                <w:rFonts w:ascii="Arial" w:eastAsia="宋体" w:hAnsi="Arial" w:cs="Arial"/>
                <w:color w:val="333333"/>
                <w:sz w:val="18"/>
                <w:szCs w:val="18"/>
              </w:rPr>
              <w:t>(3,321</w:t>
            </w:r>
          </w:p>
        </w:tc>
        <w:tc>
          <w:tcPr>
            <w:tcW w:w="0" w:type="auto"/>
            <w:shd w:val="clear" w:color="auto" w:fill="auto"/>
            <w:tcMar>
              <w:top w:w="40" w:type="dxa"/>
              <w:bottom w:w="40" w:type="dxa"/>
              <w:right w:w="40" w:type="dxa"/>
            </w:tcMar>
            <w:vAlign w:val="bottom"/>
          </w:tcPr>
          <w:p w14:paraId="3750F4C1"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w:t>
            </w:r>
          </w:p>
        </w:tc>
      </w:tr>
      <w:tr w:rsidR="002541AD" w14:paraId="3750F4CC" w14:textId="77777777">
        <w:tc>
          <w:tcPr>
            <w:tcW w:w="0" w:type="auto"/>
            <w:shd w:val="clear" w:color="auto" w:fill="auto"/>
            <w:tcMar>
              <w:top w:w="40" w:type="dxa"/>
              <w:left w:w="40" w:type="dxa"/>
              <w:bottom w:w="40" w:type="dxa"/>
              <w:right w:w="40" w:type="dxa"/>
            </w:tcMar>
            <w:vAlign w:val="bottom"/>
          </w:tcPr>
          <w:p w14:paraId="3750F4C3"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Free cash flow</w:t>
            </w:r>
          </w:p>
        </w:tc>
        <w:tc>
          <w:tcPr>
            <w:tcW w:w="0" w:type="auto"/>
            <w:shd w:val="clear" w:color="auto" w:fill="auto"/>
            <w:tcMar>
              <w:top w:w="40" w:type="dxa"/>
              <w:left w:w="40" w:type="dxa"/>
              <w:bottom w:w="40" w:type="dxa"/>
              <w:right w:w="40" w:type="dxa"/>
            </w:tcMar>
            <w:vAlign w:val="bottom"/>
          </w:tcPr>
          <w:p w14:paraId="3750F4C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000000"/>
            </w:tcBorders>
            <w:shd w:val="clear" w:color="auto" w:fill="auto"/>
            <w:tcMar>
              <w:top w:w="40" w:type="dxa"/>
              <w:left w:w="40" w:type="dxa"/>
              <w:bottom w:w="40" w:type="dxa"/>
            </w:tcMar>
            <w:vAlign w:val="bottom"/>
          </w:tcPr>
          <w:p w14:paraId="3750F4C5"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tcBorders>
              <w:top w:val="single" w:sz="8" w:space="0" w:color="333333"/>
              <w:bottom w:val="double" w:sz="6" w:space="0" w:color="000000"/>
            </w:tcBorders>
            <w:shd w:val="clear" w:color="auto" w:fill="auto"/>
            <w:tcMar>
              <w:top w:w="40" w:type="dxa"/>
              <w:bottom w:w="40" w:type="dxa"/>
            </w:tcMar>
            <w:vAlign w:val="bottom"/>
          </w:tcPr>
          <w:p w14:paraId="3750F4C6"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2,890</w:t>
            </w:r>
          </w:p>
        </w:tc>
        <w:tc>
          <w:tcPr>
            <w:tcW w:w="0" w:type="auto"/>
            <w:tcBorders>
              <w:top w:val="single" w:sz="8" w:space="0" w:color="333333"/>
              <w:bottom w:val="double" w:sz="6" w:space="0" w:color="000000"/>
            </w:tcBorders>
            <w:shd w:val="clear" w:color="auto" w:fill="auto"/>
            <w:vAlign w:val="bottom"/>
          </w:tcPr>
          <w:p w14:paraId="3750F4C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4C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000000"/>
            </w:tcBorders>
            <w:shd w:val="clear" w:color="auto" w:fill="auto"/>
            <w:tcMar>
              <w:top w:w="40" w:type="dxa"/>
              <w:left w:w="40" w:type="dxa"/>
              <w:bottom w:w="40" w:type="dxa"/>
            </w:tcMar>
            <w:vAlign w:val="bottom"/>
          </w:tcPr>
          <w:p w14:paraId="3750F4C9"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tcBorders>
              <w:top w:val="single" w:sz="8" w:space="0" w:color="333333"/>
              <w:bottom w:val="double" w:sz="6" w:space="0" w:color="000000"/>
            </w:tcBorders>
            <w:shd w:val="clear" w:color="auto" w:fill="auto"/>
            <w:tcMar>
              <w:top w:w="40" w:type="dxa"/>
              <w:bottom w:w="40" w:type="dxa"/>
            </w:tcMar>
            <w:vAlign w:val="bottom"/>
          </w:tcPr>
          <w:p w14:paraId="3750F4CA"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1,638</w:t>
            </w:r>
          </w:p>
        </w:tc>
        <w:tc>
          <w:tcPr>
            <w:tcW w:w="0" w:type="auto"/>
            <w:tcBorders>
              <w:top w:val="single" w:sz="8" w:space="0" w:color="333333"/>
              <w:bottom w:val="double" w:sz="6" w:space="0" w:color="000000"/>
            </w:tcBorders>
            <w:shd w:val="clear" w:color="auto" w:fill="auto"/>
            <w:vAlign w:val="bottom"/>
          </w:tcPr>
          <w:p w14:paraId="3750F4CB" w14:textId="77777777" w:rsidR="002541AD" w:rsidRDefault="002541AD">
            <w:pPr>
              <w:textAlignment w:val="bottom"/>
              <w:rPr>
                <w:rFonts w:ascii="Times New Roman" w:hAnsi="Times New Roman"/>
                <w:sz w:val="20"/>
                <w:szCs w:val="20"/>
              </w:rPr>
            </w:pPr>
          </w:p>
        </w:tc>
      </w:tr>
      <w:tr w:rsidR="002541AD" w14:paraId="3750F4D2" w14:textId="77777777">
        <w:tc>
          <w:tcPr>
            <w:tcW w:w="0" w:type="auto"/>
            <w:shd w:val="clear" w:color="auto" w:fill="auto"/>
            <w:tcMar>
              <w:top w:w="40" w:type="dxa"/>
              <w:left w:w="40" w:type="dxa"/>
              <w:bottom w:w="40" w:type="dxa"/>
              <w:right w:w="40" w:type="dxa"/>
            </w:tcMar>
            <w:vAlign w:val="bottom"/>
          </w:tcPr>
          <w:p w14:paraId="3750F4C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4C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F4C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4D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F4D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4DC" w14:textId="77777777">
        <w:tc>
          <w:tcPr>
            <w:tcW w:w="0" w:type="auto"/>
            <w:shd w:val="clear" w:color="auto" w:fill="auto"/>
            <w:tcMar>
              <w:top w:w="40" w:type="dxa"/>
              <w:left w:w="40" w:type="dxa"/>
              <w:bottom w:w="40" w:type="dxa"/>
              <w:right w:w="40" w:type="dxa"/>
            </w:tcMar>
            <w:vAlign w:val="bottom"/>
          </w:tcPr>
          <w:p w14:paraId="3750F4D3"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Net cash used for investing activities</w:t>
            </w:r>
          </w:p>
        </w:tc>
        <w:tc>
          <w:tcPr>
            <w:tcW w:w="0" w:type="auto"/>
            <w:shd w:val="clear" w:color="auto" w:fill="auto"/>
            <w:tcMar>
              <w:top w:w="40" w:type="dxa"/>
              <w:left w:w="40" w:type="dxa"/>
              <w:bottom w:w="40" w:type="dxa"/>
              <w:right w:w="40" w:type="dxa"/>
            </w:tcMar>
            <w:vAlign w:val="bottom"/>
          </w:tcPr>
          <w:p w14:paraId="3750F4D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4D5"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3750F4D6"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(3,736</w:t>
            </w:r>
          </w:p>
        </w:tc>
        <w:tc>
          <w:tcPr>
            <w:tcW w:w="0" w:type="auto"/>
            <w:shd w:val="clear" w:color="auto" w:fill="auto"/>
            <w:tcMar>
              <w:top w:w="40" w:type="dxa"/>
              <w:bottom w:w="40" w:type="dxa"/>
              <w:right w:w="40" w:type="dxa"/>
            </w:tcMar>
            <w:vAlign w:val="bottom"/>
          </w:tcPr>
          <w:p w14:paraId="3750F4D7"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left w:w="40" w:type="dxa"/>
              <w:bottom w:w="40" w:type="dxa"/>
              <w:right w:w="40" w:type="dxa"/>
            </w:tcMar>
            <w:vAlign w:val="bottom"/>
          </w:tcPr>
          <w:p w14:paraId="3750F4D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4D9"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3750F4DA"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(2,722</w:t>
            </w:r>
          </w:p>
        </w:tc>
        <w:tc>
          <w:tcPr>
            <w:tcW w:w="0" w:type="auto"/>
            <w:shd w:val="clear" w:color="auto" w:fill="auto"/>
            <w:tcMar>
              <w:top w:w="40" w:type="dxa"/>
              <w:bottom w:w="40" w:type="dxa"/>
              <w:right w:w="40" w:type="dxa"/>
            </w:tcMar>
            <w:vAlign w:val="bottom"/>
          </w:tcPr>
          <w:p w14:paraId="3750F4DB"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r>
      <w:tr w:rsidR="002541AD" w14:paraId="3750F4E6" w14:textId="77777777">
        <w:tc>
          <w:tcPr>
            <w:tcW w:w="0" w:type="auto"/>
            <w:shd w:val="clear" w:color="auto" w:fill="auto"/>
            <w:tcMar>
              <w:top w:w="40" w:type="dxa"/>
              <w:left w:w="40" w:type="dxa"/>
              <w:bottom w:w="40" w:type="dxa"/>
              <w:right w:w="40" w:type="dxa"/>
            </w:tcMar>
            <w:vAlign w:val="bottom"/>
          </w:tcPr>
          <w:p w14:paraId="3750F4DD"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Net cash provided by (used for) financing activities</w:t>
            </w:r>
          </w:p>
        </w:tc>
        <w:tc>
          <w:tcPr>
            <w:tcW w:w="0" w:type="auto"/>
            <w:shd w:val="clear" w:color="auto" w:fill="auto"/>
            <w:tcMar>
              <w:top w:w="40" w:type="dxa"/>
              <w:left w:w="40" w:type="dxa"/>
              <w:bottom w:w="40" w:type="dxa"/>
              <w:right w:w="40" w:type="dxa"/>
            </w:tcMar>
            <w:vAlign w:val="bottom"/>
          </w:tcPr>
          <w:p w14:paraId="3750F4D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4DF"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3750F4E0"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4,764</w:t>
            </w:r>
          </w:p>
        </w:tc>
        <w:tc>
          <w:tcPr>
            <w:tcW w:w="0" w:type="auto"/>
            <w:shd w:val="clear" w:color="auto" w:fill="auto"/>
            <w:vAlign w:val="bottom"/>
          </w:tcPr>
          <w:p w14:paraId="3750F4E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4E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4E3"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c>
          <w:tcPr>
            <w:tcW w:w="0" w:type="auto"/>
            <w:shd w:val="clear" w:color="auto" w:fill="auto"/>
            <w:tcMar>
              <w:top w:w="40" w:type="dxa"/>
              <w:bottom w:w="40" w:type="dxa"/>
            </w:tcMar>
            <w:vAlign w:val="bottom"/>
          </w:tcPr>
          <w:p w14:paraId="3750F4E4" w14:textId="77777777" w:rsidR="002541AD" w:rsidRDefault="00901AA6">
            <w:pPr>
              <w:jc w:val="right"/>
              <w:textAlignment w:val="bottom"/>
              <w:rPr>
                <w:rFonts w:ascii="Times New Roman" w:hAnsi="Times New Roman"/>
                <w:sz w:val="18"/>
                <w:szCs w:val="18"/>
              </w:rPr>
            </w:pPr>
            <w:r>
              <w:rPr>
                <w:rFonts w:ascii="Arial" w:eastAsia="宋体" w:hAnsi="Arial" w:cs="Arial"/>
                <w:b/>
                <w:bCs/>
                <w:color w:val="333333"/>
                <w:sz w:val="18"/>
                <w:szCs w:val="18"/>
              </w:rPr>
              <w:t>(2,102</w:t>
            </w:r>
          </w:p>
        </w:tc>
        <w:tc>
          <w:tcPr>
            <w:tcW w:w="0" w:type="auto"/>
            <w:shd w:val="clear" w:color="auto" w:fill="auto"/>
            <w:tcMar>
              <w:top w:w="40" w:type="dxa"/>
              <w:bottom w:w="40" w:type="dxa"/>
              <w:right w:w="40" w:type="dxa"/>
            </w:tcMar>
            <w:vAlign w:val="bottom"/>
          </w:tcPr>
          <w:p w14:paraId="3750F4E5"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w:t>
            </w:r>
          </w:p>
        </w:tc>
      </w:tr>
    </w:tbl>
    <w:p w14:paraId="3750F4E7"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F4E9" w14:textId="77777777">
        <w:tc>
          <w:tcPr>
            <w:tcW w:w="0" w:type="auto"/>
            <w:gridSpan w:val="3"/>
            <w:shd w:val="clear" w:color="auto" w:fill="auto"/>
            <w:vAlign w:val="center"/>
          </w:tcPr>
          <w:p w14:paraId="3750F4E8" w14:textId="77777777" w:rsidR="002541AD" w:rsidRDefault="002541AD">
            <w:pPr>
              <w:rPr>
                <w:rFonts w:ascii="Times New Roman" w:hAnsi="Times New Roman"/>
                <w:sz w:val="20"/>
                <w:szCs w:val="20"/>
              </w:rPr>
            </w:pPr>
          </w:p>
        </w:tc>
      </w:tr>
      <w:tr w:rsidR="002541AD" w14:paraId="3750F4ED" w14:textId="77777777">
        <w:tc>
          <w:tcPr>
            <w:tcW w:w="1550" w:type="pct"/>
            <w:shd w:val="clear" w:color="auto" w:fill="auto"/>
            <w:vAlign w:val="center"/>
          </w:tcPr>
          <w:p w14:paraId="3750F4EA" w14:textId="77777777" w:rsidR="002541AD" w:rsidRDefault="002541AD">
            <w:pPr>
              <w:rPr>
                <w:rFonts w:ascii="Times New Roman" w:hAnsi="Times New Roman"/>
                <w:sz w:val="20"/>
                <w:szCs w:val="20"/>
              </w:rPr>
            </w:pPr>
          </w:p>
        </w:tc>
        <w:tc>
          <w:tcPr>
            <w:tcW w:w="2200" w:type="pct"/>
            <w:shd w:val="clear" w:color="auto" w:fill="auto"/>
            <w:vAlign w:val="center"/>
          </w:tcPr>
          <w:p w14:paraId="3750F4EB" w14:textId="77777777" w:rsidR="002541AD" w:rsidRDefault="002541AD">
            <w:pPr>
              <w:rPr>
                <w:rFonts w:ascii="Times New Roman" w:hAnsi="Times New Roman"/>
                <w:sz w:val="20"/>
                <w:szCs w:val="20"/>
              </w:rPr>
            </w:pPr>
          </w:p>
        </w:tc>
        <w:tc>
          <w:tcPr>
            <w:tcW w:w="1250" w:type="pct"/>
            <w:shd w:val="clear" w:color="auto" w:fill="auto"/>
            <w:vAlign w:val="center"/>
          </w:tcPr>
          <w:p w14:paraId="3750F4EC" w14:textId="77777777" w:rsidR="002541AD" w:rsidRDefault="002541AD">
            <w:pPr>
              <w:rPr>
                <w:rFonts w:ascii="Times New Roman" w:hAnsi="Times New Roman"/>
                <w:sz w:val="20"/>
                <w:szCs w:val="20"/>
              </w:rPr>
            </w:pPr>
          </w:p>
        </w:tc>
      </w:tr>
      <w:tr w:rsidR="002541AD" w14:paraId="3750F4F1"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F4EE"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D5" wp14:editId="3750F8D6">
                  <wp:extent cx="304800" cy="304800"/>
                  <wp:effectExtent l="0" t="0" r="0" b="0"/>
                  <wp:docPr id="73" name="图片 134"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34"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MD&amp;A</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4E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4F0"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39</w:t>
            </w:r>
          </w:p>
        </w:tc>
      </w:tr>
    </w:tbl>
    <w:p w14:paraId="3750F4F2" w14:textId="77777777" w:rsidR="002541AD" w:rsidRDefault="002541AD">
      <w:pPr>
        <w:spacing w:line="288" w:lineRule="auto"/>
        <w:rPr>
          <w:rFonts w:ascii="Times New Roman" w:hAnsi="Times New Roman"/>
          <w:sz w:val="18"/>
          <w:szCs w:val="18"/>
        </w:rPr>
      </w:pPr>
    </w:p>
    <w:p w14:paraId="3750F4F3" w14:textId="77777777" w:rsidR="002541AD" w:rsidRDefault="00901AA6">
      <w:r>
        <w:rPr>
          <w:rFonts w:ascii="Times New Roman" w:hAnsi="Times New Roman"/>
          <w:sz w:val="18"/>
          <w:szCs w:val="18"/>
        </w:rPr>
        <w:pict w14:anchorId="3750F8D7">
          <v:rect id="_x0000_i1065" style="width:415.3pt;height:1.5pt" o:hralign="center" o:hrstd="t" o:hr="t" fillcolor="#a0a0a0" stroked="f"/>
        </w:pict>
      </w:r>
    </w:p>
    <w:p w14:paraId="3750F4F4" w14:textId="77777777" w:rsidR="002541AD" w:rsidRDefault="00901AA6">
      <w:pPr>
        <w:spacing w:line="288" w:lineRule="auto"/>
        <w:jc w:val="right"/>
        <w:rPr>
          <w:rFonts w:ascii="Times New Roman" w:hAnsi="Times New Roman"/>
          <w:sz w:val="16"/>
          <w:szCs w:val="16"/>
        </w:rPr>
      </w:pPr>
      <w:hyperlink r:id="rId68" w:anchor="s2CABEAF4222C52B4A34547BF538A8C27" w:history="1">
        <w:r>
          <w:rPr>
            <w:rStyle w:val="a5"/>
            <w:rFonts w:ascii="Arial" w:eastAsia="宋体" w:hAnsi="Arial" w:cs="Arial"/>
            <w:b/>
            <w:bCs/>
            <w:sz w:val="16"/>
            <w:szCs w:val="16"/>
          </w:rPr>
          <w:t>Table of Contents</w:t>
        </w:r>
      </w:hyperlink>
    </w:p>
    <w:p w14:paraId="3750F4F5" w14:textId="77777777" w:rsidR="002541AD" w:rsidRDefault="002541AD">
      <w:pPr>
        <w:spacing w:line="288" w:lineRule="auto"/>
        <w:jc w:val="right"/>
        <w:rPr>
          <w:rFonts w:ascii="Times New Roman" w:hAnsi="Times New Roman"/>
          <w:sz w:val="18"/>
          <w:szCs w:val="18"/>
        </w:rPr>
      </w:pPr>
    </w:p>
    <w:p w14:paraId="3750F4F6" w14:textId="77777777" w:rsidR="002541AD" w:rsidRDefault="002541AD">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2541AD" w14:paraId="3750F4F8" w14:textId="77777777">
        <w:trPr>
          <w:jc w:val="center"/>
        </w:trPr>
        <w:tc>
          <w:tcPr>
            <w:tcW w:w="0" w:type="auto"/>
            <w:shd w:val="clear" w:color="auto" w:fill="auto"/>
            <w:vAlign w:val="center"/>
          </w:tcPr>
          <w:p w14:paraId="3750F4F7" w14:textId="77777777" w:rsidR="002541AD" w:rsidRDefault="002541AD">
            <w:pPr>
              <w:rPr>
                <w:rFonts w:ascii="Times New Roman" w:hAnsi="Times New Roman"/>
                <w:sz w:val="20"/>
                <w:szCs w:val="20"/>
              </w:rPr>
            </w:pPr>
          </w:p>
        </w:tc>
      </w:tr>
      <w:tr w:rsidR="002541AD" w14:paraId="3750F4FA" w14:textId="77777777">
        <w:trPr>
          <w:jc w:val="center"/>
        </w:trPr>
        <w:tc>
          <w:tcPr>
            <w:tcW w:w="5000" w:type="pct"/>
            <w:shd w:val="clear" w:color="auto" w:fill="auto"/>
            <w:vAlign w:val="center"/>
          </w:tcPr>
          <w:p w14:paraId="3750F4F9" w14:textId="77777777" w:rsidR="002541AD" w:rsidRDefault="002541AD">
            <w:pPr>
              <w:rPr>
                <w:rFonts w:ascii="Times New Roman" w:hAnsi="Times New Roman"/>
                <w:sz w:val="20"/>
                <w:szCs w:val="20"/>
              </w:rPr>
            </w:pPr>
          </w:p>
        </w:tc>
      </w:tr>
      <w:tr w:rsidR="002541AD" w14:paraId="3750F4FC" w14:textId="77777777">
        <w:trPr>
          <w:jc w:val="center"/>
        </w:trPr>
        <w:tc>
          <w:tcPr>
            <w:tcW w:w="0" w:type="auto"/>
            <w:shd w:val="clear" w:color="auto" w:fill="0071C5"/>
            <w:tcMar>
              <w:top w:w="40" w:type="dxa"/>
              <w:left w:w="40" w:type="dxa"/>
              <w:bottom w:w="40" w:type="dxa"/>
              <w:right w:w="40" w:type="dxa"/>
            </w:tcMar>
            <w:vAlign w:val="bottom"/>
          </w:tcPr>
          <w:p w14:paraId="3750F4FB" w14:textId="77777777" w:rsidR="002541AD" w:rsidRDefault="00901AA6">
            <w:pPr>
              <w:textAlignment w:val="bottom"/>
              <w:rPr>
                <w:rFonts w:ascii="Times New Roman" w:hAnsi="Times New Roman"/>
                <w:sz w:val="28"/>
                <w:szCs w:val="28"/>
              </w:rPr>
            </w:pPr>
            <w:r>
              <w:rPr>
                <w:rFonts w:ascii="Arial" w:eastAsia="宋体" w:hAnsi="Arial" w:cs="Arial"/>
                <w:b/>
                <w:bCs/>
                <w:color w:val="FFFFFF"/>
                <w:sz w:val="28"/>
                <w:szCs w:val="28"/>
              </w:rPr>
              <w:t>OTHER KEY INFORMATION</w:t>
            </w:r>
          </w:p>
        </w:tc>
      </w:tr>
    </w:tbl>
    <w:p w14:paraId="3750F4FD"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RISK FACTORS</w:t>
      </w:r>
    </w:p>
    <w:p w14:paraId="3750F4FE"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The risks described in "Risk </w:t>
      </w:r>
      <w:r>
        <w:rPr>
          <w:rFonts w:ascii="Arial" w:eastAsia="宋体" w:hAnsi="Arial" w:cs="Arial"/>
          <w:color w:val="333333"/>
          <w:sz w:val="18"/>
          <w:szCs w:val="18"/>
        </w:rPr>
        <w:t>Factors" within Other Key Information in our 2019 Form 10-K could materially and adversely affect our business, financial condition, and results of operations, and the trading price of our common stock could decline. In addition to our discussion in “Our P</w:t>
      </w:r>
      <w:r>
        <w:rPr>
          <w:rFonts w:ascii="Arial" w:eastAsia="宋体" w:hAnsi="Arial" w:cs="Arial"/>
          <w:color w:val="333333"/>
          <w:sz w:val="18"/>
          <w:szCs w:val="18"/>
        </w:rPr>
        <w:t>andemic Response,” MD&amp;A, and other sections of this report to address effects of the COVID-19 pandemic, we have provided an additional risk factor regarding COVID-19 below and have updated the risk factors included in our 2019 Form 10-K titled "Global or r</w:t>
      </w:r>
      <w:r>
        <w:rPr>
          <w:rFonts w:ascii="Arial" w:eastAsia="宋体" w:hAnsi="Arial" w:cs="Arial"/>
          <w:color w:val="333333"/>
          <w:sz w:val="18"/>
          <w:szCs w:val="18"/>
        </w:rPr>
        <w:t>egional conditions can harm our financial results" and "Catastrophic events can have a material adverse effect on our operations and financial results." As discussed below, the impact of COVID-19 can also exacerbate other risks discussed in the Risk Factor</w:t>
      </w:r>
      <w:r>
        <w:rPr>
          <w:rFonts w:ascii="Arial" w:eastAsia="宋体" w:hAnsi="Arial" w:cs="Arial"/>
          <w:color w:val="333333"/>
          <w:sz w:val="18"/>
          <w:szCs w:val="18"/>
        </w:rPr>
        <w:t>s sections of our 2019 Form 10-K and this report, which could in turn have a material adverse effect on us. The Risk Factors section in our 2019 Form 10-K otherwise remains current in all material respects. These risk factors do not identify all risks that</w:t>
      </w:r>
      <w:r>
        <w:rPr>
          <w:rFonts w:ascii="Arial" w:eastAsia="宋体" w:hAnsi="Arial" w:cs="Arial"/>
          <w:color w:val="333333"/>
          <w:sz w:val="18"/>
          <w:szCs w:val="18"/>
        </w:rPr>
        <w:t xml:space="preserve"> we face—our operations could also be affected by factors that are not presently known to us or that we currently consider to be immaterial to our operations. Due to risks and uncertainties, known and unknown, our past financial results may not be a reliab</w:t>
      </w:r>
      <w:r>
        <w:rPr>
          <w:rFonts w:ascii="Arial" w:eastAsia="宋体" w:hAnsi="Arial" w:cs="Arial"/>
          <w:color w:val="333333"/>
          <w:sz w:val="18"/>
          <w:szCs w:val="18"/>
        </w:rPr>
        <w:t>le indicator of future performance and historical trends should not be used to anticipate results or trends in future periods.</w:t>
      </w:r>
    </w:p>
    <w:p w14:paraId="3750F4FF" w14:textId="77777777" w:rsidR="002541AD" w:rsidRDefault="00901AA6">
      <w:pPr>
        <w:spacing w:line="288" w:lineRule="auto"/>
        <w:rPr>
          <w:rFonts w:ascii="Times New Roman" w:hAnsi="Times New Roman"/>
          <w:sz w:val="18"/>
          <w:szCs w:val="18"/>
        </w:rPr>
      </w:pPr>
      <w:r>
        <w:rPr>
          <w:rFonts w:ascii="Arial" w:eastAsia="宋体" w:hAnsi="Arial" w:cs="Arial"/>
          <w:color w:val="0071C5"/>
          <w:sz w:val="18"/>
          <w:szCs w:val="18"/>
        </w:rPr>
        <w:t>The COVID-19 pandemic could materially adversely affect our financial condition and results of operations.</w:t>
      </w:r>
      <w:r>
        <w:rPr>
          <w:rFonts w:ascii="Arial" w:eastAsia="宋体" w:hAnsi="Arial" w:cs="Arial"/>
          <w:color w:val="333333"/>
          <w:sz w:val="18"/>
          <w:szCs w:val="18"/>
        </w:rPr>
        <w:t xml:space="preserve"> The novel strain of th</w:t>
      </w:r>
      <w:r>
        <w:rPr>
          <w:rFonts w:ascii="Arial" w:eastAsia="宋体" w:hAnsi="Arial" w:cs="Arial"/>
          <w:color w:val="333333"/>
          <w:sz w:val="18"/>
          <w:szCs w:val="18"/>
        </w:rPr>
        <w:t>e coronavirus identified in China in late 2019 (COVID-19) has globally spread throughout other areas such as Asia, Europe, the Middle East, and North America and has resulted in authorities imposing, and businesses and individuals implementing</w:t>
      </w:r>
      <w:r>
        <w:rPr>
          <w:rFonts w:ascii="sans-serif" w:eastAsia="宋体" w:hAnsi="sans-serif" w:cs="sans-serif"/>
          <w:color w:val="333333"/>
          <w:sz w:val="18"/>
          <w:szCs w:val="18"/>
        </w:rPr>
        <w:t>,</w:t>
      </w:r>
      <w:r>
        <w:rPr>
          <w:rFonts w:ascii="Arial" w:eastAsia="宋体" w:hAnsi="Arial" w:cs="Arial"/>
          <w:color w:val="333333"/>
          <w:sz w:val="18"/>
          <w:szCs w:val="18"/>
        </w:rPr>
        <w:t xml:space="preserve"> numerous un</w:t>
      </w:r>
      <w:r>
        <w:rPr>
          <w:rFonts w:ascii="Arial" w:eastAsia="宋体" w:hAnsi="Arial" w:cs="Arial"/>
          <w:color w:val="333333"/>
          <w:sz w:val="18"/>
          <w:szCs w:val="18"/>
        </w:rPr>
        <w:t>precedented measures to try to contain the virus, such as travel bans and restrictions, quarantines, shelter</w:t>
      </w:r>
      <w:r>
        <w:rPr>
          <w:rFonts w:ascii="sans-serif" w:eastAsia="宋体" w:hAnsi="sans-serif" w:cs="sans-serif"/>
          <w:color w:val="333333"/>
          <w:sz w:val="18"/>
          <w:szCs w:val="18"/>
        </w:rPr>
        <w:t>-</w:t>
      </w:r>
      <w:r>
        <w:rPr>
          <w:rFonts w:ascii="Arial" w:eastAsia="宋体" w:hAnsi="Arial" w:cs="Arial"/>
          <w:color w:val="333333"/>
          <w:sz w:val="18"/>
          <w:szCs w:val="18"/>
        </w:rPr>
        <w:t>in</w:t>
      </w:r>
      <w:r>
        <w:rPr>
          <w:rFonts w:ascii="sans-serif" w:eastAsia="宋体" w:hAnsi="sans-serif" w:cs="sans-serif"/>
          <w:color w:val="333333"/>
          <w:sz w:val="18"/>
          <w:szCs w:val="18"/>
        </w:rPr>
        <w:t>-</w:t>
      </w:r>
      <w:r>
        <w:rPr>
          <w:rFonts w:ascii="Arial" w:eastAsia="宋体" w:hAnsi="Arial" w:cs="Arial"/>
          <w:color w:val="333333"/>
          <w:sz w:val="18"/>
          <w:szCs w:val="18"/>
        </w:rPr>
        <w:t>place/stay-at-home and social distancing orders, and shutdowns. These measures have impacted and may further impact our workforce and operations</w:t>
      </w:r>
      <w:r>
        <w:rPr>
          <w:rFonts w:ascii="Arial" w:eastAsia="宋体" w:hAnsi="Arial" w:cs="Arial"/>
          <w:color w:val="333333"/>
          <w:sz w:val="18"/>
          <w:szCs w:val="18"/>
        </w:rPr>
        <w:t>, the operations of our customers, and those of our respective vendors, suppliers, and partners. We have significant manufacturing operations in the U.S., Ireland, Israel, China, Malaysia, and Vietnam, and each of these countries has been affected by the o</w:t>
      </w:r>
      <w:r>
        <w:rPr>
          <w:rFonts w:ascii="Arial" w:eastAsia="宋体" w:hAnsi="Arial" w:cs="Arial"/>
          <w:color w:val="333333"/>
          <w:sz w:val="18"/>
          <w:szCs w:val="18"/>
        </w:rPr>
        <w:t>utbreak and taken measures to try to contain it. The ultimate impact and efficacy of government measures and potential future measures is currently unknown.</w:t>
      </w:r>
    </w:p>
    <w:p w14:paraId="3750F500"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There is considerable uncertainty regarding the business impacts from such measures and potential f</w:t>
      </w:r>
      <w:r>
        <w:rPr>
          <w:rFonts w:ascii="Arial" w:eastAsia="宋体" w:hAnsi="Arial" w:cs="Arial"/>
          <w:color w:val="333333"/>
          <w:sz w:val="18"/>
          <w:szCs w:val="18"/>
        </w:rPr>
        <w:t>uture measures. While we have been able to operate our factories on a relatively normal basis to date, shelter-in-place orders and other measures, including work-from-home and social distancing policies implemented to protect employees, have resulted in re</w:t>
      </w:r>
      <w:r>
        <w:rPr>
          <w:rFonts w:ascii="Arial" w:eastAsia="宋体" w:hAnsi="Arial" w:cs="Arial"/>
          <w:color w:val="333333"/>
          <w:sz w:val="18"/>
          <w:szCs w:val="18"/>
        </w:rPr>
        <w:t>duced workforce availability at some of our sites, construction delays, and reduced capacity at some of our vendors and suppliers. Restrictions on our access to or operation of our manufacturing facilities or on our support operations or workforce, or simi</w:t>
      </w:r>
      <w:r>
        <w:rPr>
          <w:rFonts w:ascii="Arial" w:eastAsia="宋体" w:hAnsi="Arial" w:cs="Arial"/>
          <w:color w:val="333333"/>
          <w:sz w:val="18"/>
          <w:szCs w:val="18"/>
        </w:rPr>
        <w:t>lar limitations for our vendors and suppliers, can impact our ability to meet customer demand and could have a material adverse effect on our financial condition and results of operations, particularly if prolonged. Similarly, current and future restrictio</w:t>
      </w:r>
      <w:r>
        <w:rPr>
          <w:rFonts w:ascii="Arial" w:eastAsia="宋体" w:hAnsi="Arial" w:cs="Arial"/>
          <w:color w:val="333333"/>
          <w:sz w:val="18"/>
          <w:szCs w:val="18"/>
        </w:rPr>
        <w:t>ns or disruptions of transportation, such as reduced availability of air transport, port closures, and increased border controls or closures, can also impact our ability to meet demand and could materially adversely affect us. Our customers have experience</w:t>
      </w:r>
      <w:r>
        <w:rPr>
          <w:rFonts w:ascii="Arial" w:eastAsia="宋体" w:hAnsi="Arial" w:cs="Arial"/>
          <w:color w:val="333333"/>
          <w:sz w:val="18"/>
          <w:szCs w:val="18"/>
        </w:rPr>
        <w:t>d, and may continue to experience, disruptions in their operations and supply chains, which can result in delayed, reduced, or canceled orders, or collection risks, and which may adversely affect our results of operations. We have paused new construction p</w:t>
      </w:r>
      <w:r>
        <w:rPr>
          <w:rFonts w:ascii="Arial" w:eastAsia="宋体" w:hAnsi="Arial" w:cs="Arial"/>
          <w:color w:val="333333"/>
          <w:sz w:val="18"/>
          <w:szCs w:val="18"/>
        </w:rPr>
        <w:t xml:space="preserve">rojects at several of our manufacturing sites due to local government restrictions. Our current expectation that these interruptions will have a minimal impact on our product ramps and will not affect our timelines for process technology transitions could </w:t>
      </w:r>
      <w:r>
        <w:rPr>
          <w:rFonts w:ascii="Arial" w:eastAsia="宋体" w:hAnsi="Arial" w:cs="Arial"/>
          <w:color w:val="333333"/>
          <w:sz w:val="18"/>
          <w:szCs w:val="18"/>
        </w:rPr>
        <w:t xml:space="preserve">prove to be inaccurate, and it is possible our plans could be adversely affected to the extent these interruptions are prolonged, additional projects are paused, or other unexpected consequences impacting production occur. </w:t>
      </w:r>
    </w:p>
    <w:p w14:paraId="3750F501"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The pandemic has significantly i</w:t>
      </w:r>
      <w:r>
        <w:rPr>
          <w:rFonts w:ascii="Arial" w:eastAsia="宋体" w:hAnsi="Arial" w:cs="Arial"/>
          <w:color w:val="333333"/>
          <w:sz w:val="18"/>
          <w:szCs w:val="18"/>
        </w:rPr>
        <w:t>ncreased economic and demand uncertainty. It is likely that the current outbreak and continued spread of COVID-19 will cause an economic slowdown, and it is possible that it could cause a global recession. There is a significant degree of uncertainty and l</w:t>
      </w:r>
      <w:r>
        <w:rPr>
          <w:rFonts w:ascii="Arial" w:eastAsia="宋体" w:hAnsi="Arial" w:cs="Arial"/>
          <w:color w:val="333333"/>
          <w:sz w:val="18"/>
          <w:szCs w:val="18"/>
        </w:rPr>
        <w:t xml:space="preserve">ack of visibility as to the extent and duration of any such slowdown or recession. Risks related to a slowdown or recession are described in our risk factor titled “Global or regional conditions can harm our financial results,” below, and include the risk </w:t>
      </w:r>
      <w:r>
        <w:rPr>
          <w:rFonts w:ascii="Arial" w:eastAsia="宋体" w:hAnsi="Arial" w:cs="Arial"/>
          <w:color w:val="333333"/>
          <w:sz w:val="18"/>
          <w:szCs w:val="18"/>
        </w:rPr>
        <w:t>that demand for our products will be significantly harmed. We are currently seeing negative impacts on demand in some of our businesses, and are expecting slowing economic conditions to adversely affect those and certain other segments in the second half o</w:t>
      </w:r>
      <w:r>
        <w:rPr>
          <w:rFonts w:ascii="Arial" w:eastAsia="宋体" w:hAnsi="Arial" w:cs="Arial"/>
          <w:color w:val="333333"/>
          <w:sz w:val="18"/>
          <w:szCs w:val="18"/>
        </w:rPr>
        <w:t>f 2020, as discussed in the “Our Pandemic Response” section of this report. Given the significant economic uncertainty and volatility created by the pandemic, it is difficult to predict the nature and extent of impacts on demand for our products. These exp</w:t>
      </w:r>
      <w:r>
        <w:rPr>
          <w:rFonts w:ascii="Arial" w:eastAsia="宋体" w:hAnsi="Arial" w:cs="Arial"/>
          <w:color w:val="333333"/>
          <w:sz w:val="18"/>
          <w:szCs w:val="18"/>
        </w:rPr>
        <w:t xml:space="preserve">ectations are subject to change without warning and investors are cautioned not to place undue reliance on them. </w:t>
      </w:r>
    </w:p>
    <w:p w14:paraId="3750F502"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The pandemic has led to increased disruption and volatility in capital markets and credit markets. We issued over $10 billion in new debt in Q</w:t>
      </w:r>
      <w:r>
        <w:rPr>
          <w:rFonts w:ascii="Arial" w:eastAsia="宋体" w:hAnsi="Arial" w:cs="Arial"/>
          <w:color w:val="333333"/>
          <w:sz w:val="18"/>
          <w:szCs w:val="18"/>
        </w:rPr>
        <w:t xml:space="preserve">1 2020 and announced the suspension of our stock repurchases on March 24, 2020 to strengthen our liquidity position given the uncertainty regarding the length and severity of the pandemic and ongoing economic uncertainty. Unanticipated consequences of the </w:t>
      </w:r>
      <w:r>
        <w:rPr>
          <w:rFonts w:ascii="Arial" w:eastAsia="宋体" w:hAnsi="Arial" w:cs="Arial"/>
          <w:color w:val="333333"/>
          <w:sz w:val="18"/>
          <w:szCs w:val="18"/>
        </w:rPr>
        <w:t>pandemic and resulting economic uncertainty could adversely affect our liquidity and capital resources in the future. Market volatility has negatively impacted, and may continue to negatively impact, our equity investment portfolio.</w:t>
      </w:r>
    </w:p>
    <w:p w14:paraId="3750F503"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The spread of COVID-19 </w:t>
      </w:r>
      <w:r>
        <w:rPr>
          <w:rFonts w:ascii="Arial" w:eastAsia="宋体" w:hAnsi="Arial" w:cs="Arial"/>
          <w:color w:val="333333"/>
          <w:sz w:val="18"/>
          <w:szCs w:val="18"/>
        </w:rPr>
        <w:t>has caused us to modify our business practices (including employee travel, employee work locations, cancellation of physical participation in meetings, events and conferences, and social distancing measures), and we may take further actions as may be requi</w:t>
      </w:r>
      <w:r>
        <w:rPr>
          <w:rFonts w:ascii="Arial" w:eastAsia="宋体" w:hAnsi="Arial" w:cs="Arial"/>
          <w:color w:val="333333"/>
          <w:sz w:val="18"/>
          <w:szCs w:val="18"/>
        </w:rPr>
        <w:t>red by government authorities or that we determine are in the best interests of our employees, customers, partners, vendors, and suppliers. Work-from-home and other measures introduce additional operational risks, including cybersecurity risks, and have af</w:t>
      </w:r>
      <w:r>
        <w:rPr>
          <w:rFonts w:ascii="Arial" w:eastAsia="宋体" w:hAnsi="Arial" w:cs="Arial"/>
          <w:color w:val="333333"/>
          <w:sz w:val="18"/>
          <w:szCs w:val="18"/>
        </w:rPr>
        <w:t>fected the way we conduct our product development, validation, and qualification, customer support, and other activities, which could have an adverse effect on our operations. There is no certainty that such measures will be sufficient to mitigate the risk</w:t>
      </w:r>
      <w:r>
        <w:rPr>
          <w:rFonts w:ascii="Arial" w:eastAsia="宋体" w:hAnsi="Arial" w:cs="Arial"/>
          <w:color w:val="333333"/>
          <w:sz w:val="18"/>
          <w:szCs w:val="18"/>
        </w:rPr>
        <w:t xml:space="preserve">s posed by the virus, and illness and workforce disruptions could lead to unavailability of key personnel and harm our ability to perform critical functions. </w:t>
      </w:r>
    </w:p>
    <w:p w14:paraId="3750F504"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F506" w14:textId="77777777">
        <w:tc>
          <w:tcPr>
            <w:tcW w:w="0" w:type="auto"/>
            <w:gridSpan w:val="3"/>
            <w:shd w:val="clear" w:color="auto" w:fill="auto"/>
            <w:vAlign w:val="center"/>
          </w:tcPr>
          <w:p w14:paraId="3750F505" w14:textId="77777777" w:rsidR="002541AD" w:rsidRDefault="002541AD">
            <w:pPr>
              <w:rPr>
                <w:rFonts w:ascii="Times New Roman" w:hAnsi="Times New Roman"/>
                <w:sz w:val="20"/>
                <w:szCs w:val="20"/>
              </w:rPr>
            </w:pPr>
          </w:p>
        </w:tc>
      </w:tr>
      <w:tr w:rsidR="002541AD" w14:paraId="3750F50A" w14:textId="77777777">
        <w:tc>
          <w:tcPr>
            <w:tcW w:w="1550" w:type="pct"/>
            <w:shd w:val="clear" w:color="auto" w:fill="auto"/>
            <w:vAlign w:val="center"/>
          </w:tcPr>
          <w:p w14:paraId="3750F507" w14:textId="77777777" w:rsidR="002541AD" w:rsidRDefault="002541AD">
            <w:pPr>
              <w:rPr>
                <w:rFonts w:ascii="Times New Roman" w:hAnsi="Times New Roman"/>
                <w:sz w:val="20"/>
                <w:szCs w:val="20"/>
              </w:rPr>
            </w:pPr>
          </w:p>
        </w:tc>
        <w:tc>
          <w:tcPr>
            <w:tcW w:w="2200" w:type="pct"/>
            <w:shd w:val="clear" w:color="auto" w:fill="auto"/>
            <w:vAlign w:val="center"/>
          </w:tcPr>
          <w:p w14:paraId="3750F508" w14:textId="77777777" w:rsidR="002541AD" w:rsidRDefault="002541AD">
            <w:pPr>
              <w:rPr>
                <w:rFonts w:ascii="Times New Roman" w:hAnsi="Times New Roman"/>
                <w:sz w:val="20"/>
                <w:szCs w:val="20"/>
              </w:rPr>
            </w:pPr>
          </w:p>
        </w:tc>
        <w:tc>
          <w:tcPr>
            <w:tcW w:w="1250" w:type="pct"/>
            <w:shd w:val="clear" w:color="auto" w:fill="auto"/>
            <w:vAlign w:val="center"/>
          </w:tcPr>
          <w:p w14:paraId="3750F509" w14:textId="77777777" w:rsidR="002541AD" w:rsidRDefault="002541AD">
            <w:pPr>
              <w:rPr>
                <w:rFonts w:ascii="Times New Roman" w:hAnsi="Times New Roman"/>
                <w:sz w:val="20"/>
                <w:szCs w:val="20"/>
              </w:rPr>
            </w:pPr>
          </w:p>
        </w:tc>
      </w:tr>
      <w:tr w:rsidR="002541AD" w14:paraId="3750F50E"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F50B"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D8" wp14:editId="3750F8D9">
                  <wp:extent cx="304800" cy="304800"/>
                  <wp:effectExtent l="0" t="0" r="0" b="0"/>
                  <wp:docPr id="77" name="图片 136"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36"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50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50D"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40</w:t>
            </w:r>
          </w:p>
        </w:tc>
      </w:tr>
    </w:tbl>
    <w:p w14:paraId="3750F50F" w14:textId="77777777" w:rsidR="002541AD" w:rsidRDefault="002541AD">
      <w:pPr>
        <w:spacing w:line="288" w:lineRule="auto"/>
        <w:rPr>
          <w:rFonts w:ascii="Times New Roman" w:hAnsi="Times New Roman"/>
          <w:sz w:val="18"/>
          <w:szCs w:val="18"/>
        </w:rPr>
      </w:pPr>
    </w:p>
    <w:p w14:paraId="3750F510" w14:textId="77777777" w:rsidR="002541AD" w:rsidRDefault="00901AA6">
      <w:r>
        <w:rPr>
          <w:rFonts w:ascii="Times New Roman" w:hAnsi="Times New Roman"/>
          <w:sz w:val="18"/>
          <w:szCs w:val="18"/>
        </w:rPr>
        <w:pict w14:anchorId="3750F8DA">
          <v:rect id="_x0000_i1066" style="width:415.3pt;height:1.5pt" o:hralign="center" o:hrstd="t" o:hr="t" fillcolor="#a0a0a0" stroked="f"/>
        </w:pict>
      </w:r>
    </w:p>
    <w:p w14:paraId="3750F511" w14:textId="77777777" w:rsidR="002541AD" w:rsidRDefault="00901AA6">
      <w:pPr>
        <w:spacing w:line="288" w:lineRule="auto"/>
        <w:jc w:val="right"/>
        <w:rPr>
          <w:rFonts w:ascii="Times New Roman" w:hAnsi="Times New Roman"/>
          <w:sz w:val="16"/>
          <w:szCs w:val="16"/>
        </w:rPr>
      </w:pPr>
      <w:hyperlink r:id="rId69" w:anchor="s2CABEAF4222C52B4A34547BF538A8C27" w:history="1">
        <w:r>
          <w:rPr>
            <w:rStyle w:val="a5"/>
            <w:rFonts w:ascii="Arial" w:eastAsia="宋体" w:hAnsi="Arial" w:cs="Arial"/>
            <w:b/>
            <w:bCs/>
            <w:sz w:val="16"/>
            <w:szCs w:val="16"/>
          </w:rPr>
          <w:t>Table of Contents</w:t>
        </w:r>
      </w:hyperlink>
    </w:p>
    <w:p w14:paraId="3750F512" w14:textId="77777777" w:rsidR="002541AD" w:rsidRDefault="002541AD">
      <w:pPr>
        <w:spacing w:line="288" w:lineRule="auto"/>
        <w:jc w:val="right"/>
        <w:rPr>
          <w:rFonts w:ascii="Times New Roman" w:hAnsi="Times New Roman"/>
          <w:sz w:val="18"/>
          <w:szCs w:val="18"/>
        </w:rPr>
      </w:pPr>
    </w:p>
    <w:p w14:paraId="3750F513" w14:textId="77777777" w:rsidR="002541AD" w:rsidRDefault="002541AD">
      <w:pPr>
        <w:rPr>
          <w:rFonts w:ascii="Times New Roman" w:hAnsi="Times New Roman"/>
          <w:sz w:val="20"/>
          <w:szCs w:val="20"/>
        </w:rPr>
      </w:pPr>
    </w:p>
    <w:p w14:paraId="3750F514"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The degree to which COVID-19 impacts our results will depend on future </w:t>
      </w:r>
      <w:r>
        <w:rPr>
          <w:rFonts w:ascii="Arial" w:eastAsia="宋体" w:hAnsi="Arial" w:cs="Arial"/>
          <w:color w:val="333333"/>
          <w:sz w:val="18"/>
          <w:szCs w:val="18"/>
        </w:rPr>
        <w:t>developments, which are highly uncertain and cannot be predicted, including, but not limited to, the duration and spread of the outbreak, its severity, the actions to contain the virus or treat its impact, other actions taken by governments, businesses, an</w:t>
      </w:r>
      <w:r>
        <w:rPr>
          <w:rFonts w:ascii="Arial" w:eastAsia="宋体" w:hAnsi="Arial" w:cs="Arial"/>
          <w:color w:val="333333"/>
          <w:sz w:val="18"/>
          <w:szCs w:val="18"/>
        </w:rPr>
        <w:t>d individuals in response to the virus and resulting economic disruption, and how quickly and to what extent normal economic and operating conditions can resume. We are similarly unable to predict the degree to which the pandemic impacts our customers, sup</w:t>
      </w:r>
      <w:r>
        <w:rPr>
          <w:rFonts w:ascii="Arial" w:eastAsia="宋体" w:hAnsi="Arial" w:cs="Arial"/>
          <w:color w:val="333333"/>
          <w:sz w:val="18"/>
          <w:szCs w:val="18"/>
        </w:rPr>
        <w:t xml:space="preserve">pliers, vendors, and other partners, and their financial conditions, but a material effect on these parties could also adversely affect us. The impact of COVID-19 can also exacerbate other risks discussed in the Risk Factors sections of our 2019 Form 10-K </w:t>
      </w:r>
      <w:r>
        <w:rPr>
          <w:rFonts w:ascii="Arial" w:eastAsia="宋体" w:hAnsi="Arial" w:cs="Arial"/>
          <w:color w:val="333333"/>
          <w:sz w:val="18"/>
          <w:szCs w:val="18"/>
        </w:rPr>
        <w:t>and this report, which could in turn have a material adverse effect on us. Developments related to COVID-19 have been rapidly changing, and additional impacts and risks may arise that we are not aware of or able to appropriately respond to currently.</w:t>
      </w:r>
    </w:p>
    <w:p w14:paraId="3750F515" w14:textId="77777777" w:rsidR="002541AD" w:rsidRDefault="00901AA6">
      <w:pPr>
        <w:spacing w:line="288" w:lineRule="auto"/>
        <w:rPr>
          <w:rFonts w:ascii="Times New Roman" w:hAnsi="Times New Roman"/>
          <w:sz w:val="18"/>
          <w:szCs w:val="18"/>
        </w:rPr>
      </w:pPr>
      <w:r>
        <w:rPr>
          <w:rFonts w:ascii="Arial" w:eastAsia="宋体" w:hAnsi="Arial" w:cs="Arial"/>
          <w:color w:val="0071C5"/>
          <w:sz w:val="18"/>
          <w:szCs w:val="18"/>
        </w:rPr>
        <w:t>Globa</w:t>
      </w:r>
      <w:r>
        <w:rPr>
          <w:rFonts w:ascii="Arial" w:eastAsia="宋体" w:hAnsi="Arial" w:cs="Arial"/>
          <w:color w:val="0071C5"/>
          <w:sz w:val="18"/>
          <w:szCs w:val="18"/>
        </w:rPr>
        <w:t>l or regional conditions can harm our financial results.</w:t>
      </w:r>
      <w:r>
        <w:rPr>
          <w:rFonts w:ascii="Arial" w:eastAsia="宋体" w:hAnsi="Arial" w:cs="Arial"/>
          <w:color w:val="333333"/>
          <w:sz w:val="18"/>
          <w:szCs w:val="18"/>
        </w:rPr>
        <w:t xml:space="preserve"> </w:t>
      </w:r>
      <w:r>
        <w:rPr>
          <w:rFonts w:ascii="Arial" w:eastAsia="宋体" w:hAnsi="Arial" w:cs="Arial"/>
          <w:color w:val="333333"/>
          <w:sz w:val="18"/>
          <w:szCs w:val="18"/>
        </w:rPr>
        <w:t>We have manufacturing, assembly and test, R&amp;D, sales, and other operations in many countries, and some of our business activities are concentrated in one or more geographic areas. Moreover, sales out</w:t>
      </w:r>
      <w:r>
        <w:rPr>
          <w:rFonts w:ascii="Arial" w:eastAsia="宋体" w:hAnsi="Arial" w:cs="Arial"/>
          <w:color w:val="333333"/>
          <w:sz w:val="18"/>
          <w:szCs w:val="18"/>
        </w:rPr>
        <w:t xml:space="preserve">side the U.S. accounted for approximately 78% of our revenue for the fiscal year ended </w:t>
      </w:r>
      <w:r>
        <w:rPr>
          <w:rFonts w:ascii="Arial" w:eastAsia="宋体" w:hAnsi="Arial" w:cs="Arial"/>
          <w:color w:val="333333"/>
          <w:sz w:val="18"/>
          <w:szCs w:val="18"/>
        </w:rPr>
        <w:t>December 28, 2019</w:t>
      </w:r>
      <w:r>
        <w:rPr>
          <w:rFonts w:ascii="Arial" w:eastAsia="宋体" w:hAnsi="Arial" w:cs="Arial"/>
          <w:color w:val="333333"/>
          <w:sz w:val="18"/>
          <w:szCs w:val="18"/>
        </w:rPr>
        <w:t>, with revenue from billings to China, including Hong Kong, contributing approximately 28% of our total revenue. As a result, our operations and our fin</w:t>
      </w:r>
      <w:r>
        <w:rPr>
          <w:rFonts w:ascii="Arial" w:eastAsia="宋体" w:hAnsi="Arial" w:cs="Arial"/>
          <w:color w:val="333333"/>
          <w:sz w:val="18"/>
          <w:szCs w:val="18"/>
        </w:rPr>
        <w:t xml:space="preserve">ancial results, including our ability to manufacture, assemble and test, design, develop, or sell products, and the demand for our products, are at times adversely affected by a number of global and regional factors outside of our control. </w:t>
      </w:r>
    </w:p>
    <w:p w14:paraId="3750F516"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Adverse changes</w:t>
      </w:r>
      <w:r>
        <w:rPr>
          <w:rFonts w:ascii="Arial" w:eastAsia="宋体" w:hAnsi="Arial" w:cs="Arial"/>
          <w:color w:val="333333"/>
          <w:sz w:val="18"/>
          <w:szCs w:val="18"/>
        </w:rPr>
        <w:t xml:space="preserve"> in global or regional economic conditions, including recession or slowing growth, changes or uncertainty in fiscal, monetary, or trade policy, higher interest rates, tighter credit, inflation, lower capital expenditures by businesses including on IT infra</w:t>
      </w:r>
      <w:r>
        <w:rPr>
          <w:rFonts w:ascii="Arial" w:eastAsia="宋体" w:hAnsi="Arial" w:cs="Arial"/>
          <w:color w:val="333333"/>
          <w:sz w:val="18"/>
          <w:szCs w:val="18"/>
        </w:rPr>
        <w:t>structure, increases in unemployment, and lower consumer confidence and spending, periodically occur. The COVID-19 pandemic has significantly increased economic and demand uncertainty. It is likely that the current outbreak and continued spread of COVID-19</w:t>
      </w:r>
      <w:r>
        <w:rPr>
          <w:rFonts w:ascii="Arial" w:eastAsia="宋体" w:hAnsi="Arial" w:cs="Arial"/>
          <w:color w:val="333333"/>
          <w:sz w:val="18"/>
          <w:szCs w:val="18"/>
        </w:rPr>
        <w:t> will cause an economic slowdown, and it is possible that it could cause a global recession. Adverse changes in economic conditions, including as a result of the pandemic, can significantly harm demand for our products and make it more challenging to forec</w:t>
      </w:r>
      <w:r>
        <w:rPr>
          <w:rFonts w:ascii="Arial" w:eastAsia="宋体" w:hAnsi="Arial" w:cs="Arial"/>
          <w:color w:val="333333"/>
          <w:sz w:val="18"/>
          <w:szCs w:val="18"/>
        </w:rPr>
        <w:t>ast our operating results and make business decisions, including regarding prioritization of investments in our business. An economic downturn or increased uncertainty may also lead to increased credit and collectability risks, higher borrowing costs or re</w:t>
      </w:r>
      <w:r>
        <w:rPr>
          <w:rFonts w:ascii="Arial" w:eastAsia="宋体" w:hAnsi="Arial" w:cs="Arial"/>
          <w:color w:val="333333"/>
          <w:sz w:val="18"/>
          <w:szCs w:val="18"/>
        </w:rPr>
        <w:t>duced availability of capital markets, reduced liquidity, adverse impacts on our suppliers, failures of counterparties including financial institutions and insurers, asset impairments, and declines in the value of our financial instruments.</w:t>
      </w:r>
    </w:p>
    <w:p w14:paraId="3750F517"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International t</w:t>
      </w:r>
      <w:r>
        <w:rPr>
          <w:rFonts w:ascii="Arial" w:eastAsia="宋体" w:hAnsi="Arial" w:cs="Arial"/>
          <w:color w:val="333333"/>
          <w:sz w:val="18"/>
          <w:szCs w:val="18"/>
        </w:rPr>
        <w:t>rade disputes at times result in increased tariffs, trade barriers, and other protectionist measures that can increase our manufacturing costs, make our products less competitive, reduce demand for our products, limit our ability to sell to certain custome</w:t>
      </w:r>
      <w:r>
        <w:rPr>
          <w:rFonts w:ascii="Arial" w:eastAsia="宋体" w:hAnsi="Arial" w:cs="Arial"/>
          <w:color w:val="333333"/>
          <w:sz w:val="18"/>
          <w:szCs w:val="18"/>
        </w:rPr>
        <w:t>rs, limit our ability to procure components or raw materials, or impede or slow the movement of our goods across borders. Increasing protectionism and economic nationalism may lead to further changes in trade policy, domestic sourcing initiatives, or other</w:t>
      </w:r>
      <w:r>
        <w:rPr>
          <w:rFonts w:ascii="Arial" w:eastAsia="宋体" w:hAnsi="Arial" w:cs="Arial"/>
          <w:color w:val="333333"/>
          <w:sz w:val="18"/>
          <w:szCs w:val="18"/>
        </w:rPr>
        <w:t xml:space="preserve"> formal and informal measures that could make it more difficult to sell our products in, or restrict our access to, some markets. </w:t>
      </w:r>
    </w:p>
    <w:p w14:paraId="3750F518"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Escalating trade tensions between the U.S. and China have led to increased tariffs and trade restrictions, including tariffs </w:t>
      </w:r>
      <w:r>
        <w:rPr>
          <w:rFonts w:ascii="Arial" w:eastAsia="宋体" w:hAnsi="Arial" w:cs="Arial"/>
          <w:color w:val="333333"/>
          <w:sz w:val="18"/>
          <w:szCs w:val="18"/>
        </w:rPr>
        <w:t>applicable to some of our products, and have affected customer ordering patterns. The U.S. has imposed restrictions on the export of U.S.-regulated products and technology to certain Chinese technology companies, including certain of our customers. These r</w:t>
      </w:r>
      <w:r>
        <w:rPr>
          <w:rFonts w:ascii="Arial" w:eastAsia="宋体" w:hAnsi="Arial" w:cs="Arial"/>
          <w:color w:val="333333"/>
          <w:sz w:val="18"/>
          <w:szCs w:val="18"/>
        </w:rPr>
        <w:t>estrictions have reduced our sales, and continuing or future restrictions could adversely affect our financial results, result in reputational harm to us due to our relationship with such companies, or lead such companies to develop or adopt technologies t</w:t>
      </w:r>
      <w:r>
        <w:rPr>
          <w:rFonts w:ascii="Arial" w:eastAsia="宋体" w:hAnsi="Arial" w:cs="Arial"/>
          <w:color w:val="333333"/>
          <w:sz w:val="18"/>
          <w:szCs w:val="18"/>
        </w:rPr>
        <w:t>hat compete with our products. It is difficult to predict what further trade-related actions governments may take, which may include additional or increased tariffs and trade restrictions, and we may be unable to quickly and effectively react to such actio</w:t>
      </w:r>
      <w:r>
        <w:rPr>
          <w:rFonts w:ascii="Arial" w:eastAsia="宋体" w:hAnsi="Arial" w:cs="Arial"/>
          <w:color w:val="333333"/>
          <w:sz w:val="18"/>
          <w:szCs w:val="18"/>
        </w:rPr>
        <w:t>ns. For example, U.S. legislation has expanded the power of the U.S. Department of Commerce to restrict the export of “emerging and foundational technologies” yet to be identified, which could impact our current or future products.</w:t>
      </w:r>
    </w:p>
    <w:p w14:paraId="3750F519"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Trade disputes and prote</w:t>
      </w:r>
      <w:r>
        <w:rPr>
          <w:rFonts w:ascii="Arial" w:eastAsia="宋体" w:hAnsi="Arial" w:cs="Arial"/>
          <w:color w:val="333333"/>
          <w:sz w:val="18"/>
          <w:szCs w:val="18"/>
        </w:rPr>
        <w:t>ctionist measures</w:t>
      </w:r>
      <w:r>
        <w:rPr>
          <w:rFonts w:ascii="Arial" w:eastAsia="宋体" w:hAnsi="Arial" w:cs="Arial"/>
          <w:color w:val="333333"/>
          <w:sz w:val="18"/>
          <w:szCs w:val="18"/>
        </w:rPr>
        <w:t>, or continued uncertainty about such matters,</w:t>
      </w:r>
      <w:r>
        <w:rPr>
          <w:rFonts w:ascii="Arial" w:eastAsia="宋体" w:hAnsi="Arial" w:cs="Arial"/>
          <w:color w:val="333333"/>
          <w:sz w:val="18"/>
          <w:szCs w:val="18"/>
        </w:rPr>
        <w:t xml:space="preserve"> could result in declining consumer confidence and slowing economic growth or recession, and could cause our customers to reduce, cancel, or alter the timing of their purchases with us. Sustain</w:t>
      </w:r>
      <w:r>
        <w:rPr>
          <w:rFonts w:ascii="Arial" w:eastAsia="宋体" w:hAnsi="Arial" w:cs="Arial"/>
          <w:color w:val="333333"/>
          <w:sz w:val="18"/>
          <w:szCs w:val="18"/>
        </w:rPr>
        <w:t>ed trade tensions could lead to long-term changes in global trade and technology supply chains, which could adversely affect our business and growth prospects.</w:t>
      </w:r>
    </w:p>
    <w:p w14:paraId="3750F51A"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We can be adversely affected by other global and regional factors that periodically occur, inclu</w:t>
      </w:r>
      <w:r>
        <w:rPr>
          <w:rFonts w:ascii="Arial" w:eastAsia="宋体" w:hAnsi="Arial" w:cs="Arial"/>
          <w:color w:val="333333"/>
          <w:sz w:val="18"/>
          <w:szCs w:val="18"/>
        </w:rPr>
        <w:t>ding:</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2541AD" w14:paraId="3750F51D" w14:textId="77777777">
        <w:trPr>
          <w:tblCellSpacing w:w="0" w:type="dxa"/>
        </w:trPr>
        <w:tc>
          <w:tcPr>
            <w:tcW w:w="480" w:type="dxa"/>
            <w:shd w:val="clear" w:color="auto" w:fill="auto"/>
            <w:vAlign w:val="center"/>
          </w:tcPr>
          <w:p w14:paraId="3750F51B" w14:textId="77777777" w:rsidR="002541AD" w:rsidRDefault="002541AD">
            <w:pPr>
              <w:rPr>
                <w:rFonts w:ascii="Times New Roman" w:hAnsi="Times New Roman"/>
                <w:sz w:val="20"/>
                <w:szCs w:val="20"/>
              </w:rPr>
            </w:pPr>
          </w:p>
        </w:tc>
        <w:tc>
          <w:tcPr>
            <w:tcW w:w="0" w:type="auto"/>
            <w:shd w:val="clear" w:color="auto" w:fill="auto"/>
            <w:vAlign w:val="center"/>
          </w:tcPr>
          <w:p w14:paraId="3750F51C" w14:textId="77777777" w:rsidR="002541AD" w:rsidRDefault="002541AD">
            <w:pPr>
              <w:rPr>
                <w:rFonts w:ascii="Times New Roman" w:hAnsi="Times New Roman"/>
                <w:sz w:val="20"/>
                <w:szCs w:val="20"/>
              </w:rPr>
            </w:pPr>
          </w:p>
        </w:tc>
      </w:tr>
      <w:tr w:rsidR="002541AD" w14:paraId="3750F520" w14:textId="77777777">
        <w:trPr>
          <w:tblCellSpacing w:w="0" w:type="dxa"/>
        </w:trPr>
        <w:tc>
          <w:tcPr>
            <w:tcW w:w="0" w:type="auto"/>
            <w:shd w:val="clear" w:color="auto" w:fill="auto"/>
          </w:tcPr>
          <w:p w14:paraId="3750F51E"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F51F"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geopolitical and security issues, such as armed conflict and civil or military unrest, political instability, human rights concerns, and terrorist activity, including, for example, geopolitical tensions and conflict affecting Israel, where </w:t>
            </w:r>
            <w:r>
              <w:rPr>
                <w:rFonts w:ascii="Arial" w:eastAsia="宋体" w:hAnsi="Arial" w:cs="Arial"/>
                <w:color w:val="333333"/>
                <w:sz w:val="18"/>
                <w:szCs w:val="18"/>
              </w:rPr>
              <w:t>our Mobileye business headquarters and certain of our fabrication facilities are located;</w:t>
            </w:r>
          </w:p>
        </w:tc>
      </w:tr>
    </w:tbl>
    <w:p w14:paraId="3750F521" w14:textId="77777777" w:rsidR="002541AD" w:rsidRDefault="002541A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2541AD" w14:paraId="3750F524" w14:textId="77777777">
        <w:trPr>
          <w:tblCellSpacing w:w="0" w:type="dxa"/>
        </w:trPr>
        <w:tc>
          <w:tcPr>
            <w:tcW w:w="480" w:type="dxa"/>
            <w:shd w:val="clear" w:color="auto" w:fill="auto"/>
            <w:vAlign w:val="center"/>
          </w:tcPr>
          <w:p w14:paraId="3750F522" w14:textId="77777777" w:rsidR="002541AD" w:rsidRDefault="002541AD">
            <w:pPr>
              <w:rPr>
                <w:rFonts w:ascii="Times New Roman" w:hAnsi="Times New Roman"/>
                <w:sz w:val="20"/>
                <w:szCs w:val="20"/>
              </w:rPr>
            </w:pPr>
          </w:p>
        </w:tc>
        <w:tc>
          <w:tcPr>
            <w:tcW w:w="0" w:type="auto"/>
            <w:shd w:val="clear" w:color="auto" w:fill="auto"/>
            <w:vAlign w:val="center"/>
          </w:tcPr>
          <w:p w14:paraId="3750F523" w14:textId="77777777" w:rsidR="002541AD" w:rsidRDefault="002541AD">
            <w:pPr>
              <w:rPr>
                <w:rFonts w:ascii="Times New Roman" w:hAnsi="Times New Roman"/>
                <w:sz w:val="20"/>
                <w:szCs w:val="20"/>
              </w:rPr>
            </w:pPr>
          </w:p>
        </w:tc>
      </w:tr>
      <w:tr w:rsidR="002541AD" w14:paraId="3750F527" w14:textId="77777777">
        <w:trPr>
          <w:tblCellSpacing w:w="0" w:type="dxa"/>
        </w:trPr>
        <w:tc>
          <w:tcPr>
            <w:tcW w:w="0" w:type="auto"/>
            <w:shd w:val="clear" w:color="auto" w:fill="auto"/>
          </w:tcPr>
          <w:p w14:paraId="3750F525"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F526"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natural disasters, public health issues (including the COVID-19 pandemic discussed further in the risk factor “The COVID-19 pandemic could materially adversely</w:t>
            </w:r>
            <w:r>
              <w:rPr>
                <w:rFonts w:ascii="Arial" w:eastAsia="宋体" w:hAnsi="Arial" w:cs="Arial"/>
                <w:color w:val="333333"/>
                <w:sz w:val="18"/>
                <w:szCs w:val="18"/>
              </w:rPr>
              <w:t xml:space="preserve"> affect our financial condition and results of operations,” above), and other catastrophic events;</w:t>
            </w:r>
          </w:p>
        </w:tc>
      </w:tr>
    </w:tbl>
    <w:p w14:paraId="3750F528" w14:textId="77777777" w:rsidR="002541AD" w:rsidRDefault="002541A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2541AD" w14:paraId="3750F52B" w14:textId="77777777">
        <w:trPr>
          <w:tblCellSpacing w:w="0" w:type="dxa"/>
        </w:trPr>
        <w:tc>
          <w:tcPr>
            <w:tcW w:w="480" w:type="dxa"/>
            <w:shd w:val="clear" w:color="auto" w:fill="auto"/>
            <w:vAlign w:val="center"/>
          </w:tcPr>
          <w:p w14:paraId="3750F529" w14:textId="77777777" w:rsidR="002541AD" w:rsidRDefault="002541AD">
            <w:pPr>
              <w:rPr>
                <w:rFonts w:ascii="Times New Roman" w:hAnsi="Times New Roman"/>
                <w:sz w:val="20"/>
                <w:szCs w:val="20"/>
              </w:rPr>
            </w:pPr>
          </w:p>
        </w:tc>
        <w:tc>
          <w:tcPr>
            <w:tcW w:w="0" w:type="auto"/>
            <w:shd w:val="clear" w:color="auto" w:fill="auto"/>
            <w:vAlign w:val="center"/>
          </w:tcPr>
          <w:p w14:paraId="3750F52A" w14:textId="77777777" w:rsidR="002541AD" w:rsidRDefault="002541AD">
            <w:pPr>
              <w:rPr>
                <w:rFonts w:ascii="Times New Roman" w:hAnsi="Times New Roman"/>
                <w:sz w:val="20"/>
                <w:szCs w:val="20"/>
              </w:rPr>
            </w:pPr>
          </w:p>
        </w:tc>
      </w:tr>
      <w:tr w:rsidR="002541AD" w14:paraId="3750F52E" w14:textId="77777777">
        <w:trPr>
          <w:tblCellSpacing w:w="0" w:type="dxa"/>
        </w:trPr>
        <w:tc>
          <w:tcPr>
            <w:tcW w:w="0" w:type="auto"/>
            <w:shd w:val="clear" w:color="auto" w:fill="auto"/>
          </w:tcPr>
          <w:p w14:paraId="3750F52C"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F52D"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inefficient infrastructure and other disruptions, such as supply chain interruptions and large-scale outages or unreliable provision of </w:t>
            </w:r>
            <w:r>
              <w:rPr>
                <w:rFonts w:ascii="Arial" w:eastAsia="宋体" w:hAnsi="Arial" w:cs="Arial"/>
                <w:color w:val="333333"/>
                <w:sz w:val="18"/>
                <w:szCs w:val="18"/>
              </w:rPr>
              <w:t>services from utilities, transportation, data hosting, or telecommunications providers;</w:t>
            </w:r>
          </w:p>
        </w:tc>
      </w:tr>
    </w:tbl>
    <w:p w14:paraId="3750F52F" w14:textId="77777777" w:rsidR="002541AD" w:rsidRDefault="002541A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2541AD" w14:paraId="3750F532" w14:textId="77777777">
        <w:trPr>
          <w:tblCellSpacing w:w="0" w:type="dxa"/>
        </w:trPr>
        <w:tc>
          <w:tcPr>
            <w:tcW w:w="480" w:type="dxa"/>
            <w:shd w:val="clear" w:color="auto" w:fill="auto"/>
            <w:vAlign w:val="center"/>
          </w:tcPr>
          <w:p w14:paraId="3750F530" w14:textId="77777777" w:rsidR="002541AD" w:rsidRDefault="002541AD">
            <w:pPr>
              <w:rPr>
                <w:rFonts w:ascii="Times New Roman" w:hAnsi="Times New Roman"/>
                <w:sz w:val="20"/>
                <w:szCs w:val="20"/>
              </w:rPr>
            </w:pPr>
          </w:p>
        </w:tc>
        <w:tc>
          <w:tcPr>
            <w:tcW w:w="0" w:type="auto"/>
            <w:shd w:val="clear" w:color="auto" w:fill="auto"/>
            <w:vAlign w:val="center"/>
          </w:tcPr>
          <w:p w14:paraId="3750F531" w14:textId="77777777" w:rsidR="002541AD" w:rsidRDefault="002541AD">
            <w:pPr>
              <w:rPr>
                <w:rFonts w:ascii="Times New Roman" w:hAnsi="Times New Roman"/>
                <w:sz w:val="20"/>
                <w:szCs w:val="20"/>
              </w:rPr>
            </w:pPr>
          </w:p>
        </w:tc>
      </w:tr>
      <w:tr w:rsidR="002541AD" w14:paraId="3750F535" w14:textId="77777777">
        <w:trPr>
          <w:tblCellSpacing w:w="0" w:type="dxa"/>
        </w:trPr>
        <w:tc>
          <w:tcPr>
            <w:tcW w:w="0" w:type="auto"/>
            <w:shd w:val="clear" w:color="auto" w:fill="auto"/>
          </w:tcPr>
          <w:p w14:paraId="3750F533"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F534"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formal or informal imposition of new or revised export, import, or doing-business regulations, including trade sanctions, tariffs, and changes in the </w:t>
            </w:r>
            <w:r>
              <w:rPr>
                <w:rFonts w:ascii="Arial" w:eastAsia="宋体" w:hAnsi="Arial" w:cs="Arial"/>
                <w:color w:val="333333"/>
                <w:sz w:val="18"/>
                <w:szCs w:val="18"/>
              </w:rPr>
              <w:t>ability to obtain export licenses, which could be changed without notice;</w:t>
            </w:r>
          </w:p>
        </w:tc>
      </w:tr>
    </w:tbl>
    <w:p w14:paraId="3750F536" w14:textId="77777777" w:rsidR="002541AD" w:rsidRDefault="002541A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2541AD" w14:paraId="3750F539" w14:textId="77777777">
        <w:trPr>
          <w:tblCellSpacing w:w="0" w:type="dxa"/>
        </w:trPr>
        <w:tc>
          <w:tcPr>
            <w:tcW w:w="480" w:type="dxa"/>
            <w:shd w:val="clear" w:color="auto" w:fill="auto"/>
            <w:vAlign w:val="center"/>
          </w:tcPr>
          <w:p w14:paraId="3750F537" w14:textId="77777777" w:rsidR="002541AD" w:rsidRDefault="002541AD">
            <w:pPr>
              <w:rPr>
                <w:rFonts w:ascii="Times New Roman" w:hAnsi="Times New Roman"/>
                <w:sz w:val="20"/>
                <w:szCs w:val="20"/>
              </w:rPr>
            </w:pPr>
          </w:p>
        </w:tc>
        <w:tc>
          <w:tcPr>
            <w:tcW w:w="0" w:type="auto"/>
            <w:shd w:val="clear" w:color="auto" w:fill="auto"/>
            <w:vAlign w:val="center"/>
          </w:tcPr>
          <w:p w14:paraId="3750F538" w14:textId="77777777" w:rsidR="002541AD" w:rsidRDefault="002541AD">
            <w:pPr>
              <w:rPr>
                <w:rFonts w:ascii="Times New Roman" w:hAnsi="Times New Roman"/>
                <w:sz w:val="20"/>
                <w:szCs w:val="20"/>
              </w:rPr>
            </w:pPr>
          </w:p>
        </w:tc>
      </w:tr>
      <w:tr w:rsidR="002541AD" w14:paraId="3750F53C" w14:textId="77777777">
        <w:trPr>
          <w:tblCellSpacing w:w="0" w:type="dxa"/>
        </w:trPr>
        <w:tc>
          <w:tcPr>
            <w:tcW w:w="0" w:type="auto"/>
            <w:shd w:val="clear" w:color="auto" w:fill="auto"/>
          </w:tcPr>
          <w:p w14:paraId="3750F53A"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F53B"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government restrictions on, or nationalization of, our operations in any country, or restrictions on our ability to repatriate earnings from a particular country;</w:t>
            </w:r>
          </w:p>
        </w:tc>
      </w:tr>
    </w:tbl>
    <w:p w14:paraId="3750F53D" w14:textId="77777777" w:rsidR="002541AD" w:rsidRDefault="002541A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304"/>
      </w:tblGrid>
      <w:tr w:rsidR="002541AD" w14:paraId="3750F540" w14:textId="77777777">
        <w:trPr>
          <w:tblCellSpacing w:w="0" w:type="dxa"/>
        </w:trPr>
        <w:tc>
          <w:tcPr>
            <w:tcW w:w="480" w:type="dxa"/>
            <w:shd w:val="clear" w:color="auto" w:fill="auto"/>
            <w:vAlign w:val="center"/>
          </w:tcPr>
          <w:p w14:paraId="3750F53E" w14:textId="77777777" w:rsidR="002541AD" w:rsidRDefault="002541AD">
            <w:pPr>
              <w:rPr>
                <w:rFonts w:ascii="Times New Roman" w:hAnsi="Times New Roman"/>
                <w:sz w:val="20"/>
                <w:szCs w:val="20"/>
              </w:rPr>
            </w:pPr>
          </w:p>
        </w:tc>
        <w:tc>
          <w:tcPr>
            <w:tcW w:w="0" w:type="auto"/>
            <w:shd w:val="clear" w:color="auto" w:fill="auto"/>
            <w:vAlign w:val="center"/>
          </w:tcPr>
          <w:p w14:paraId="3750F53F" w14:textId="77777777" w:rsidR="002541AD" w:rsidRDefault="002541AD">
            <w:pPr>
              <w:rPr>
                <w:rFonts w:ascii="Times New Roman" w:hAnsi="Times New Roman"/>
                <w:sz w:val="20"/>
                <w:szCs w:val="20"/>
              </w:rPr>
            </w:pPr>
          </w:p>
        </w:tc>
      </w:tr>
      <w:tr w:rsidR="002541AD" w14:paraId="3750F543" w14:textId="77777777">
        <w:trPr>
          <w:tblCellSpacing w:w="0" w:type="dxa"/>
        </w:trPr>
        <w:tc>
          <w:tcPr>
            <w:tcW w:w="0" w:type="auto"/>
            <w:shd w:val="clear" w:color="auto" w:fill="auto"/>
          </w:tcPr>
          <w:p w14:paraId="3750F541"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F542"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adverse changes relating to government grants, tax credits, or other government incentives;</w:t>
            </w:r>
          </w:p>
        </w:tc>
      </w:tr>
    </w:tbl>
    <w:p w14:paraId="3750F544" w14:textId="77777777" w:rsidR="002541AD" w:rsidRDefault="002541A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3852"/>
      </w:tblGrid>
      <w:tr w:rsidR="002541AD" w14:paraId="3750F547" w14:textId="77777777">
        <w:trPr>
          <w:tblCellSpacing w:w="0" w:type="dxa"/>
        </w:trPr>
        <w:tc>
          <w:tcPr>
            <w:tcW w:w="480" w:type="dxa"/>
            <w:shd w:val="clear" w:color="auto" w:fill="auto"/>
            <w:vAlign w:val="center"/>
          </w:tcPr>
          <w:p w14:paraId="3750F545" w14:textId="77777777" w:rsidR="002541AD" w:rsidRDefault="002541AD">
            <w:pPr>
              <w:rPr>
                <w:rFonts w:ascii="Times New Roman" w:hAnsi="Times New Roman"/>
                <w:sz w:val="20"/>
                <w:szCs w:val="20"/>
              </w:rPr>
            </w:pPr>
          </w:p>
        </w:tc>
        <w:tc>
          <w:tcPr>
            <w:tcW w:w="0" w:type="auto"/>
            <w:shd w:val="clear" w:color="auto" w:fill="auto"/>
            <w:vAlign w:val="center"/>
          </w:tcPr>
          <w:p w14:paraId="3750F546" w14:textId="77777777" w:rsidR="002541AD" w:rsidRDefault="002541AD">
            <w:pPr>
              <w:rPr>
                <w:rFonts w:ascii="Times New Roman" w:hAnsi="Times New Roman"/>
                <w:sz w:val="20"/>
                <w:szCs w:val="20"/>
              </w:rPr>
            </w:pPr>
          </w:p>
        </w:tc>
      </w:tr>
      <w:tr w:rsidR="002541AD" w14:paraId="3750F54A" w14:textId="77777777">
        <w:trPr>
          <w:tblCellSpacing w:w="0" w:type="dxa"/>
        </w:trPr>
        <w:tc>
          <w:tcPr>
            <w:tcW w:w="0" w:type="auto"/>
            <w:shd w:val="clear" w:color="auto" w:fill="auto"/>
          </w:tcPr>
          <w:p w14:paraId="3750F548"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F549"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differing employment practices and labor issues;</w:t>
            </w:r>
          </w:p>
        </w:tc>
      </w:tr>
    </w:tbl>
    <w:p w14:paraId="3750F54B" w14:textId="77777777" w:rsidR="002541AD" w:rsidRDefault="002541A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4913"/>
      </w:tblGrid>
      <w:tr w:rsidR="002541AD" w14:paraId="3750F54E" w14:textId="77777777">
        <w:trPr>
          <w:tblCellSpacing w:w="0" w:type="dxa"/>
        </w:trPr>
        <w:tc>
          <w:tcPr>
            <w:tcW w:w="480" w:type="dxa"/>
            <w:shd w:val="clear" w:color="auto" w:fill="auto"/>
            <w:vAlign w:val="center"/>
          </w:tcPr>
          <w:p w14:paraId="3750F54C" w14:textId="77777777" w:rsidR="002541AD" w:rsidRDefault="002541AD">
            <w:pPr>
              <w:rPr>
                <w:rFonts w:ascii="Times New Roman" w:hAnsi="Times New Roman"/>
                <w:sz w:val="20"/>
                <w:szCs w:val="20"/>
              </w:rPr>
            </w:pPr>
          </w:p>
        </w:tc>
        <w:tc>
          <w:tcPr>
            <w:tcW w:w="0" w:type="auto"/>
            <w:shd w:val="clear" w:color="auto" w:fill="auto"/>
            <w:vAlign w:val="center"/>
          </w:tcPr>
          <w:p w14:paraId="3750F54D" w14:textId="77777777" w:rsidR="002541AD" w:rsidRDefault="002541AD">
            <w:pPr>
              <w:rPr>
                <w:rFonts w:ascii="Times New Roman" w:hAnsi="Times New Roman"/>
                <w:sz w:val="20"/>
                <w:szCs w:val="20"/>
              </w:rPr>
            </w:pPr>
          </w:p>
        </w:tc>
      </w:tr>
      <w:tr w:rsidR="002541AD" w14:paraId="3750F551" w14:textId="77777777">
        <w:trPr>
          <w:tblCellSpacing w:w="0" w:type="dxa"/>
        </w:trPr>
        <w:tc>
          <w:tcPr>
            <w:tcW w:w="0" w:type="auto"/>
            <w:shd w:val="clear" w:color="auto" w:fill="auto"/>
          </w:tcPr>
          <w:p w14:paraId="3750F54F"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F550"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ineffective legal protection of our IP rights in certain countries;</w:t>
            </w:r>
          </w:p>
        </w:tc>
      </w:tr>
    </w:tbl>
    <w:p w14:paraId="3750F552"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F554" w14:textId="77777777">
        <w:tc>
          <w:tcPr>
            <w:tcW w:w="0" w:type="auto"/>
            <w:gridSpan w:val="3"/>
            <w:shd w:val="clear" w:color="auto" w:fill="auto"/>
            <w:vAlign w:val="center"/>
          </w:tcPr>
          <w:p w14:paraId="3750F553" w14:textId="77777777" w:rsidR="002541AD" w:rsidRDefault="002541AD">
            <w:pPr>
              <w:rPr>
                <w:rFonts w:ascii="Times New Roman" w:hAnsi="Times New Roman"/>
                <w:sz w:val="20"/>
                <w:szCs w:val="20"/>
              </w:rPr>
            </w:pPr>
          </w:p>
        </w:tc>
      </w:tr>
      <w:tr w:rsidR="002541AD" w14:paraId="3750F558" w14:textId="77777777">
        <w:tc>
          <w:tcPr>
            <w:tcW w:w="1550" w:type="pct"/>
            <w:shd w:val="clear" w:color="auto" w:fill="auto"/>
            <w:vAlign w:val="center"/>
          </w:tcPr>
          <w:p w14:paraId="3750F555" w14:textId="77777777" w:rsidR="002541AD" w:rsidRDefault="002541AD">
            <w:pPr>
              <w:rPr>
                <w:rFonts w:ascii="Times New Roman" w:hAnsi="Times New Roman"/>
                <w:sz w:val="20"/>
                <w:szCs w:val="20"/>
              </w:rPr>
            </w:pPr>
          </w:p>
        </w:tc>
        <w:tc>
          <w:tcPr>
            <w:tcW w:w="2200" w:type="pct"/>
            <w:shd w:val="clear" w:color="auto" w:fill="auto"/>
            <w:vAlign w:val="center"/>
          </w:tcPr>
          <w:p w14:paraId="3750F556" w14:textId="77777777" w:rsidR="002541AD" w:rsidRDefault="002541AD">
            <w:pPr>
              <w:rPr>
                <w:rFonts w:ascii="Times New Roman" w:hAnsi="Times New Roman"/>
                <w:sz w:val="20"/>
                <w:szCs w:val="20"/>
              </w:rPr>
            </w:pPr>
          </w:p>
        </w:tc>
        <w:tc>
          <w:tcPr>
            <w:tcW w:w="1250" w:type="pct"/>
            <w:shd w:val="clear" w:color="auto" w:fill="auto"/>
            <w:vAlign w:val="center"/>
          </w:tcPr>
          <w:p w14:paraId="3750F557" w14:textId="77777777" w:rsidR="002541AD" w:rsidRDefault="002541AD">
            <w:pPr>
              <w:rPr>
                <w:rFonts w:ascii="Times New Roman" w:hAnsi="Times New Roman"/>
                <w:sz w:val="20"/>
                <w:szCs w:val="20"/>
              </w:rPr>
            </w:pPr>
          </w:p>
        </w:tc>
      </w:tr>
      <w:tr w:rsidR="002541AD" w14:paraId="3750F55C"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F559"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DB" wp14:editId="3750F8DC">
                  <wp:extent cx="304800" cy="304800"/>
                  <wp:effectExtent l="0" t="0" r="0" b="0"/>
                  <wp:docPr id="92" name="图片 13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38"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55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55B"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41</w:t>
            </w:r>
          </w:p>
        </w:tc>
      </w:tr>
    </w:tbl>
    <w:p w14:paraId="3750F55D" w14:textId="77777777" w:rsidR="002541AD" w:rsidRDefault="002541AD">
      <w:pPr>
        <w:spacing w:line="288" w:lineRule="auto"/>
        <w:rPr>
          <w:rFonts w:ascii="Times New Roman" w:hAnsi="Times New Roman"/>
          <w:sz w:val="18"/>
          <w:szCs w:val="18"/>
        </w:rPr>
      </w:pPr>
    </w:p>
    <w:p w14:paraId="3750F55E" w14:textId="77777777" w:rsidR="002541AD" w:rsidRDefault="00901AA6">
      <w:r>
        <w:rPr>
          <w:rFonts w:ascii="Times New Roman" w:hAnsi="Times New Roman"/>
          <w:sz w:val="18"/>
          <w:szCs w:val="18"/>
        </w:rPr>
        <w:pict w14:anchorId="3750F8DD">
          <v:rect id="_x0000_i1067" style="width:415.3pt;height:1.5pt" o:hralign="center" o:hrstd="t" o:hr="t" fillcolor="#a0a0a0" stroked="f"/>
        </w:pict>
      </w:r>
    </w:p>
    <w:p w14:paraId="3750F55F" w14:textId="77777777" w:rsidR="002541AD" w:rsidRDefault="00901AA6">
      <w:pPr>
        <w:spacing w:line="288" w:lineRule="auto"/>
        <w:jc w:val="right"/>
        <w:rPr>
          <w:rFonts w:ascii="Times New Roman" w:hAnsi="Times New Roman"/>
          <w:sz w:val="16"/>
          <w:szCs w:val="16"/>
        </w:rPr>
      </w:pPr>
      <w:hyperlink r:id="rId70" w:anchor="s2CABEAF4222C52B4A34547BF538A8C27" w:history="1">
        <w:r>
          <w:rPr>
            <w:rStyle w:val="a5"/>
            <w:rFonts w:ascii="Arial" w:eastAsia="宋体" w:hAnsi="Arial" w:cs="Arial"/>
            <w:b/>
            <w:bCs/>
            <w:sz w:val="16"/>
            <w:szCs w:val="16"/>
          </w:rPr>
          <w:t>Table of Contents</w:t>
        </w:r>
      </w:hyperlink>
    </w:p>
    <w:p w14:paraId="3750F560" w14:textId="77777777" w:rsidR="002541AD" w:rsidRDefault="002541AD">
      <w:pPr>
        <w:spacing w:line="288" w:lineRule="auto"/>
        <w:jc w:val="right"/>
        <w:rPr>
          <w:rFonts w:ascii="Times New Roman" w:hAnsi="Times New Roman"/>
          <w:sz w:val="18"/>
          <w:szCs w:val="18"/>
        </w:rPr>
      </w:pPr>
    </w:p>
    <w:p w14:paraId="3750F561" w14:textId="77777777" w:rsidR="002541AD" w:rsidRDefault="002541AD">
      <w:pPr>
        <w:rPr>
          <w:rFonts w:ascii="Times New Roman" w:hAnsi="Times New Roman"/>
          <w:sz w:val="20"/>
          <w:szCs w:val="20"/>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6844"/>
      </w:tblGrid>
      <w:tr w:rsidR="002541AD" w14:paraId="3750F564" w14:textId="77777777">
        <w:trPr>
          <w:tblCellSpacing w:w="0" w:type="dxa"/>
        </w:trPr>
        <w:tc>
          <w:tcPr>
            <w:tcW w:w="480" w:type="dxa"/>
            <w:shd w:val="clear" w:color="auto" w:fill="auto"/>
            <w:vAlign w:val="center"/>
          </w:tcPr>
          <w:p w14:paraId="3750F562" w14:textId="77777777" w:rsidR="002541AD" w:rsidRDefault="002541AD">
            <w:pPr>
              <w:rPr>
                <w:rFonts w:ascii="Times New Roman" w:hAnsi="Times New Roman"/>
                <w:sz w:val="20"/>
                <w:szCs w:val="20"/>
              </w:rPr>
            </w:pPr>
          </w:p>
        </w:tc>
        <w:tc>
          <w:tcPr>
            <w:tcW w:w="0" w:type="auto"/>
            <w:shd w:val="clear" w:color="auto" w:fill="auto"/>
            <w:vAlign w:val="center"/>
          </w:tcPr>
          <w:p w14:paraId="3750F563" w14:textId="77777777" w:rsidR="002541AD" w:rsidRDefault="002541AD">
            <w:pPr>
              <w:rPr>
                <w:rFonts w:ascii="Times New Roman" w:hAnsi="Times New Roman"/>
                <w:sz w:val="20"/>
                <w:szCs w:val="20"/>
              </w:rPr>
            </w:pPr>
          </w:p>
        </w:tc>
      </w:tr>
      <w:tr w:rsidR="002541AD" w14:paraId="3750F567" w14:textId="77777777">
        <w:trPr>
          <w:tblCellSpacing w:w="0" w:type="dxa"/>
        </w:trPr>
        <w:tc>
          <w:tcPr>
            <w:tcW w:w="0" w:type="auto"/>
            <w:shd w:val="clear" w:color="auto" w:fill="auto"/>
          </w:tcPr>
          <w:p w14:paraId="3750F565"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F566"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local business and cultural factors that differ from our current </w:t>
            </w:r>
            <w:r>
              <w:rPr>
                <w:rFonts w:ascii="Arial" w:eastAsia="宋体" w:hAnsi="Arial" w:cs="Arial"/>
                <w:color w:val="333333"/>
                <w:sz w:val="18"/>
                <w:szCs w:val="18"/>
              </w:rPr>
              <w:t>standards and practices;</w:t>
            </w:r>
          </w:p>
        </w:tc>
      </w:tr>
    </w:tbl>
    <w:p w14:paraId="3750F568" w14:textId="77777777" w:rsidR="002541AD" w:rsidRDefault="002541A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2541AD" w14:paraId="3750F56B" w14:textId="77777777">
        <w:trPr>
          <w:tblCellSpacing w:w="0" w:type="dxa"/>
        </w:trPr>
        <w:tc>
          <w:tcPr>
            <w:tcW w:w="480" w:type="dxa"/>
            <w:shd w:val="clear" w:color="auto" w:fill="auto"/>
            <w:vAlign w:val="center"/>
          </w:tcPr>
          <w:p w14:paraId="3750F569" w14:textId="77777777" w:rsidR="002541AD" w:rsidRDefault="002541AD">
            <w:pPr>
              <w:rPr>
                <w:rFonts w:ascii="Times New Roman" w:hAnsi="Times New Roman"/>
                <w:sz w:val="20"/>
                <w:szCs w:val="20"/>
              </w:rPr>
            </w:pPr>
          </w:p>
        </w:tc>
        <w:tc>
          <w:tcPr>
            <w:tcW w:w="0" w:type="auto"/>
            <w:shd w:val="clear" w:color="auto" w:fill="auto"/>
            <w:vAlign w:val="center"/>
          </w:tcPr>
          <w:p w14:paraId="3750F56A" w14:textId="77777777" w:rsidR="002541AD" w:rsidRDefault="002541AD">
            <w:pPr>
              <w:rPr>
                <w:rFonts w:ascii="Times New Roman" w:hAnsi="Times New Roman"/>
                <w:sz w:val="20"/>
                <w:szCs w:val="20"/>
              </w:rPr>
            </w:pPr>
          </w:p>
        </w:tc>
      </w:tr>
      <w:tr w:rsidR="002541AD" w14:paraId="3750F56E" w14:textId="77777777">
        <w:trPr>
          <w:tblCellSpacing w:w="0" w:type="dxa"/>
        </w:trPr>
        <w:tc>
          <w:tcPr>
            <w:tcW w:w="0" w:type="auto"/>
            <w:shd w:val="clear" w:color="auto" w:fill="auto"/>
          </w:tcPr>
          <w:p w14:paraId="3750F56C"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F56D"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continuing uncertainty regarding social, political, immigration, and tax and trade policies in the U.S. and abroad, including as a result of the United Kingdom's withdrawal from the European Union;</w:t>
            </w:r>
          </w:p>
        </w:tc>
      </w:tr>
    </w:tbl>
    <w:p w14:paraId="3750F56F" w14:textId="77777777" w:rsidR="002541AD" w:rsidRDefault="002541A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2541AD" w14:paraId="3750F572" w14:textId="77777777">
        <w:trPr>
          <w:tblCellSpacing w:w="0" w:type="dxa"/>
        </w:trPr>
        <w:tc>
          <w:tcPr>
            <w:tcW w:w="480" w:type="dxa"/>
            <w:shd w:val="clear" w:color="auto" w:fill="auto"/>
            <w:vAlign w:val="center"/>
          </w:tcPr>
          <w:p w14:paraId="3750F570" w14:textId="77777777" w:rsidR="002541AD" w:rsidRDefault="002541AD">
            <w:pPr>
              <w:rPr>
                <w:rFonts w:ascii="Times New Roman" w:hAnsi="Times New Roman"/>
                <w:sz w:val="20"/>
                <w:szCs w:val="20"/>
              </w:rPr>
            </w:pPr>
          </w:p>
        </w:tc>
        <w:tc>
          <w:tcPr>
            <w:tcW w:w="0" w:type="auto"/>
            <w:shd w:val="clear" w:color="auto" w:fill="auto"/>
            <w:vAlign w:val="center"/>
          </w:tcPr>
          <w:p w14:paraId="3750F571" w14:textId="77777777" w:rsidR="002541AD" w:rsidRDefault="002541AD">
            <w:pPr>
              <w:rPr>
                <w:rFonts w:ascii="Times New Roman" w:hAnsi="Times New Roman"/>
                <w:sz w:val="20"/>
                <w:szCs w:val="20"/>
              </w:rPr>
            </w:pPr>
          </w:p>
        </w:tc>
      </w:tr>
      <w:tr w:rsidR="002541AD" w14:paraId="3750F575" w14:textId="77777777">
        <w:trPr>
          <w:tblCellSpacing w:w="0" w:type="dxa"/>
        </w:trPr>
        <w:tc>
          <w:tcPr>
            <w:tcW w:w="0" w:type="auto"/>
            <w:shd w:val="clear" w:color="auto" w:fill="auto"/>
          </w:tcPr>
          <w:p w14:paraId="3750F573"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F574"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fluctuations in the market values of our domestic and international investments, which can be negatively affected by liquidity, credit deterioration or losses, interest rate changes, financial results, political risk, sovereign risk, or other factors; and</w:t>
            </w:r>
          </w:p>
        </w:tc>
      </w:tr>
    </w:tbl>
    <w:p w14:paraId="3750F576" w14:textId="77777777" w:rsidR="002541AD" w:rsidRDefault="002541AD">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2541AD" w14:paraId="3750F579" w14:textId="77777777">
        <w:trPr>
          <w:tblCellSpacing w:w="0" w:type="dxa"/>
        </w:trPr>
        <w:tc>
          <w:tcPr>
            <w:tcW w:w="480" w:type="dxa"/>
            <w:shd w:val="clear" w:color="auto" w:fill="auto"/>
            <w:vAlign w:val="center"/>
          </w:tcPr>
          <w:p w14:paraId="3750F577" w14:textId="77777777" w:rsidR="002541AD" w:rsidRDefault="002541AD">
            <w:pPr>
              <w:rPr>
                <w:rFonts w:ascii="Times New Roman" w:hAnsi="Times New Roman"/>
                <w:sz w:val="20"/>
                <w:szCs w:val="20"/>
              </w:rPr>
            </w:pPr>
          </w:p>
        </w:tc>
        <w:tc>
          <w:tcPr>
            <w:tcW w:w="0" w:type="auto"/>
            <w:shd w:val="clear" w:color="auto" w:fill="auto"/>
            <w:vAlign w:val="center"/>
          </w:tcPr>
          <w:p w14:paraId="3750F578" w14:textId="77777777" w:rsidR="002541AD" w:rsidRDefault="002541AD">
            <w:pPr>
              <w:rPr>
                <w:rFonts w:ascii="Times New Roman" w:hAnsi="Times New Roman"/>
                <w:sz w:val="20"/>
                <w:szCs w:val="20"/>
              </w:rPr>
            </w:pPr>
          </w:p>
        </w:tc>
      </w:tr>
      <w:tr w:rsidR="002541AD" w14:paraId="3750F57C" w14:textId="77777777">
        <w:trPr>
          <w:tblCellSpacing w:w="0" w:type="dxa"/>
        </w:trPr>
        <w:tc>
          <w:tcPr>
            <w:tcW w:w="0" w:type="auto"/>
            <w:shd w:val="clear" w:color="auto" w:fill="auto"/>
          </w:tcPr>
          <w:p w14:paraId="3750F57A"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Pr>
          <w:p w14:paraId="3750F57B" w14:textId="77777777" w:rsidR="002541AD" w:rsidRDefault="00901AA6">
            <w:pPr>
              <w:spacing w:line="288" w:lineRule="auto"/>
              <w:textAlignment w:val="top"/>
              <w:rPr>
                <w:rFonts w:ascii="Times New Roman" w:hAnsi="Times New Roman"/>
                <w:sz w:val="18"/>
                <w:szCs w:val="18"/>
              </w:rPr>
            </w:pPr>
            <w:r>
              <w:rPr>
                <w:rFonts w:ascii="Arial" w:eastAsia="宋体" w:hAnsi="Arial" w:cs="Arial"/>
                <w:color w:val="333333"/>
                <w:sz w:val="18"/>
                <w:szCs w:val="18"/>
              </w:rPr>
              <w:t xml:space="preserve">uncertainty regarding LIBOR—certain of our interest rate derivatives and investments are based on LIBOR, and a portion of our indebtedness bears interest at variable interest rates, primarily based on LIBOR: LIBOR is the subject of recent </w:t>
            </w:r>
            <w:r>
              <w:rPr>
                <w:rFonts w:ascii="Arial" w:eastAsia="宋体" w:hAnsi="Arial" w:cs="Arial"/>
                <w:color w:val="333333"/>
                <w:sz w:val="18"/>
                <w:szCs w:val="18"/>
              </w:rPr>
              <w:t>national, international and other regulatory guidance and proposals for reform, which may cause LIBOR to disappear entirely after 2021 or to perform differently than in the past, and while we expect that reasonable alternatives to LIBOR will be implemented</w:t>
            </w:r>
            <w:r>
              <w:rPr>
                <w:rFonts w:ascii="Arial" w:eastAsia="宋体" w:hAnsi="Arial" w:cs="Arial"/>
                <w:color w:val="333333"/>
                <w:sz w:val="18"/>
                <w:szCs w:val="18"/>
              </w:rPr>
              <w:t xml:space="preserve"> prior to the 2021 target date, we cannot predict the consequences and timing of these developments, and they could include an increase in our interest expense and/or a reduction in our interest income.</w:t>
            </w:r>
          </w:p>
        </w:tc>
      </w:tr>
    </w:tbl>
    <w:p w14:paraId="3750F57D"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We are subject to laws and regulations worldwide tha</w:t>
      </w:r>
      <w:r>
        <w:rPr>
          <w:rFonts w:ascii="Arial" w:eastAsia="宋体" w:hAnsi="Arial" w:cs="Arial"/>
          <w:color w:val="333333"/>
          <w:sz w:val="18"/>
          <w:szCs w:val="18"/>
        </w:rPr>
        <w:t>t differ among jurisdictions, affecting our operations in areas including, but not limited to: IP ownership and infringement; tax; import and export requirements; anti-corruption; foreign exchange controls and cash repatriation restrictions; data privacy r</w:t>
      </w:r>
      <w:r>
        <w:rPr>
          <w:rFonts w:ascii="Arial" w:eastAsia="宋体" w:hAnsi="Arial" w:cs="Arial"/>
          <w:color w:val="333333"/>
          <w:sz w:val="18"/>
          <w:szCs w:val="18"/>
        </w:rPr>
        <w:t>equirements; competition; advertising; employment; product regulations; environment, health, and safety requirements; and consumer laws. Compliance with such requirements can be onerous and expensive, and may otherwise impact our business operations negati</w:t>
      </w:r>
      <w:r>
        <w:rPr>
          <w:rFonts w:ascii="Arial" w:eastAsia="宋体" w:hAnsi="Arial" w:cs="Arial"/>
          <w:color w:val="333333"/>
          <w:sz w:val="18"/>
          <w:szCs w:val="18"/>
        </w:rPr>
        <w:t xml:space="preserve">vely. For example, unfavorable developments with evolving laws and regulations worldwide related to 5G or autonomous driving technology may limit global adoption, impede our strategy, and negatively impact our long-term expectations for our investments in </w:t>
      </w:r>
      <w:r>
        <w:rPr>
          <w:rFonts w:ascii="Arial" w:eastAsia="宋体" w:hAnsi="Arial" w:cs="Arial"/>
          <w:color w:val="333333"/>
          <w:sz w:val="18"/>
          <w:szCs w:val="18"/>
        </w:rPr>
        <w:t>these areas. Expanding privacy legislation and compliance costs of privacy-related and data protection measures could adversely affect our customers and their products and services, particularly in cloud, Internet of Things, and AI applications, which coul</w:t>
      </w:r>
      <w:r>
        <w:rPr>
          <w:rFonts w:ascii="Arial" w:eastAsia="宋体" w:hAnsi="Arial" w:cs="Arial"/>
          <w:color w:val="333333"/>
          <w:sz w:val="18"/>
          <w:szCs w:val="18"/>
        </w:rPr>
        <w:t xml:space="preserve">d in turn reduce demand for our products used for those workloads. </w:t>
      </w:r>
    </w:p>
    <w:p w14:paraId="3750F57E"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Although we have policies, controls, and procedures designed to help ensure compliance with applicable laws, there can be no assurance that our employees</w:t>
      </w:r>
      <w:r>
        <w:rPr>
          <w:rFonts w:ascii="Arial" w:eastAsia="宋体" w:hAnsi="Arial" w:cs="Arial"/>
          <w:color w:val="333333"/>
          <w:sz w:val="18"/>
          <w:szCs w:val="18"/>
        </w:rPr>
        <w:t>, contractors, suppliers, or agents</w:t>
      </w:r>
      <w:r>
        <w:rPr>
          <w:rFonts w:ascii="Arial" w:eastAsia="宋体" w:hAnsi="Arial" w:cs="Arial"/>
          <w:color w:val="333333"/>
          <w:sz w:val="18"/>
          <w:szCs w:val="18"/>
        </w:rPr>
        <w:t xml:space="preserve"> will not violate such laws or our policies. Violations of these laws and regulations can result in fines; criminal sanct</w:t>
      </w:r>
      <w:r>
        <w:rPr>
          <w:rFonts w:ascii="Arial" w:eastAsia="宋体" w:hAnsi="Arial" w:cs="Arial"/>
          <w:color w:val="333333"/>
          <w:sz w:val="18"/>
          <w:szCs w:val="18"/>
        </w:rPr>
        <w:t>ions against us, our officers, or our employees; prohibitions on the conduct of our business; and damage to our reputation. The technol</w:t>
      </w:r>
      <w:r>
        <w:rPr>
          <w:rFonts w:ascii="Arial" w:eastAsia="宋体" w:hAnsi="Arial" w:cs="Arial"/>
          <w:color w:val="333333"/>
          <w:sz w:val="18"/>
          <w:szCs w:val="18"/>
        </w:rPr>
        <w:t>ogy industry is subject to intense media, political, and regulatory scrutiny, which can increase our exposure to government investigations, legal actions, and penalties.</w:t>
      </w:r>
    </w:p>
    <w:p w14:paraId="3750F57F" w14:textId="77777777" w:rsidR="002541AD" w:rsidRDefault="00901AA6">
      <w:pPr>
        <w:spacing w:line="288" w:lineRule="auto"/>
        <w:rPr>
          <w:rFonts w:ascii="Times New Roman" w:hAnsi="Times New Roman"/>
          <w:sz w:val="18"/>
          <w:szCs w:val="18"/>
        </w:rPr>
      </w:pPr>
      <w:r>
        <w:rPr>
          <w:rFonts w:ascii="Arial" w:eastAsia="宋体" w:hAnsi="Arial" w:cs="Arial"/>
          <w:color w:val="0071C5"/>
          <w:sz w:val="18"/>
          <w:szCs w:val="18"/>
        </w:rPr>
        <w:t>Catastrophic events can have a material adverse effect on our operations and financial</w:t>
      </w:r>
      <w:r>
        <w:rPr>
          <w:rFonts w:ascii="Arial" w:eastAsia="宋体" w:hAnsi="Arial" w:cs="Arial"/>
          <w:color w:val="0071C5"/>
          <w:sz w:val="18"/>
          <w:szCs w:val="18"/>
        </w:rPr>
        <w:t xml:space="preserve"> results.</w:t>
      </w:r>
      <w:r>
        <w:rPr>
          <w:rFonts w:ascii="Arial" w:eastAsia="宋体" w:hAnsi="Arial" w:cs="Arial"/>
          <w:color w:val="333333"/>
          <w:sz w:val="18"/>
          <w:szCs w:val="18"/>
        </w:rPr>
        <w:t xml:space="preserve"> </w:t>
      </w:r>
      <w:r>
        <w:rPr>
          <w:rFonts w:ascii="Arial" w:eastAsia="宋体" w:hAnsi="Arial" w:cs="Arial"/>
          <w:color w:val="333333"/>
          <w:sz w:val="18"/>
          <w:szCs w:val="18"/>
        </w:rPr>
        <w:t xml:space="preserve">Our operations and business, and those of our customers and suppliers, can be disrupted by natural disasters; industrial accidents; public health issues </w:t>
      </w:r>
      <w:r>
        <w:rPr>
          <w:rFonts w:ascii="Arial" w:eastAsia="宋体" w:hAnsi="Arial" w:cs="Arial"/>
          <w:color w:val="333333"/>
          <w:sz w:val="18"/>
          <w:szCs w:val="18"/>
        </w:rPr>
        <w:t>(i</w:t>
      </w:r>
      <w:r>
        <w:rPr>
          <w:rFonts w:ascii="Arial" w:eastAsia="宋体" w:hAnsi="Arial" w:cs="Arial"/>
          <w:color w:val="333333"/>
          <w:sz w:val="18"/>
          <w:szCs w:val="18"/>
        </w:rPr>
        <w:t xml:space="preserve">ncluding the COVID-19 pandemic discussed further in the risk factor “The COVID-19 pandemic </w:t>
      </w:r>
      <w:r>
        <w:rPr>
          <w:rFonts w:ascii="Arial" w:eastAsia="宋体" w:hAnsi="Arial" w:cs="Arial"/>
          <w:color w:val="333333"/>
          <w:sz w:val="18"/>
          <w:szCs w:val="18"/>
        </w:rPr>
        <w:t xml:space="preserve">could materially adversely affect our financial condition and results of operations,” above); cybersecurity incidents; interruptions of service from utilities, transportation, telecommunications, or IT systems providers; </w:t>
      </w:r>
      <w:r>
        <w:rPr>
          <w:rFonts w:ascii="Arial" w:eastAsia="宋体" w:hAnsi="Arial" w:cs="Arial"/>
          <w:color w:val="333333"/>
          <w:sz w:val="18"/>
          <w:szCs w:val="18"/>
        </w:rPr>
        <w:t xml:space="preserve">manufacturing equipment failures; </w:t>
      </w:r>
      <w:r>
        <w:rPr>
          <w:rFonts w:ascii="Arial" w:eastAsia="宋体" w:hAnsi="Arial" w:cs="Arial"/>
          <w:color w:val="333333"/>
          <w:sz w:val="18"/>
          <w:szCs w:val="18"/>
        </w:rPr>
        <w:t>o</w:t>
      </w:r>
      <w:r>
        <w:rPr>
          <w:rFonts w:ascii="Arial" w:eastAsia="宋体" w:hAnsi="Arial" w:cs="Arial"/>
          <w:color w:val="333333"/>
          <w:sz w:val="18"/>
          <w:szCs w:val="18"/>
        </w:rPr>
        <w:t xml:space="preserve">r other catastrophic events. </w:t>
      </w:r>
      <w:r>
        <w:rPr>
          <w:rFonts w:ascii="Arial" w:eastAsia="宋体" w:hAnsi="Arial" w:cs="Arial"/>
          <w:color w:val="333333"/>
          <w:sz w:val="18"/>
          <w:szCs w:val="18"/>
        </w:rPr>
        <w:t>For example, we have at times experienced disruptions in our manufacturing processes as a result of power outages, improperly functioning equipment, and disruptions in supply of raw materials or components, including due to cyb</w:t>
      </w:r>
      <w:r>
        <w:rPr>
          <w:rFonts w:ascii="Arial" w:eastAsia="宋体" w:hAnsi="Arial" w:cs="Arial"/>
          <w:color w:val="333333"/>
          <w:sz w:val="18"/>
          <w:szCs w:val="18"/>
        </w:rPr>
        <w:t xml:space="preserve">ersecurity incidents affecting our suppliers. </w:t>
      </w:r>
      <w:r>
        <w:rPr>
          <w:rFonts w:ascii="Arial" w:eastAsia="宋体" w:hAnsi="Arial" w:cs="Arial"/>
          <w:color w:val="333333"/>
          <w:sz w:val="18"/>
          <w:szCs w:val="18"/>
        </w:rPr>
        <w:t>Our headquarters and many of our operations and facilities are in locations that are prone to earthquakes and other natural disasters. Global climate change can result in certain natural disasters occurring mor</w:t>
      </w:r>
      <w:r>
        <w:rPr>
          <w:rFonts w:ascii="Arial" w:eastAsia="宋体" w:hAnsi="Arial" w:cs="Arial"/>
          <w:color w:val="333333"/>
          <w:sz w:val="18"/>
          <w:szCs w:val="18"/>
        </w:rPr>
        <w:t>e frequently or with greater intensity, such as drought, wildfires, storms, sea-level rise, and flooding, and could disrupt the availability of water necessary for the operation of our fabrication facilities located in semi-arid regions. Catastrophic event</w:t>
      </w:r>
      <w:r>
        <w:rPr>
          <w:rFonts w:ascii="Arial" w:eastAsia="宋体" w:hAnsi="Arial" w:cs="Arial"/>
          <w:color w:val="333333"/>
          <w:sz w:val="18"/>
          <w:szCs w:val="18"/>
        </w:rPr>
        <w:t xml:space="preserve">s could make it difficult or impossible to manufacture or deliver products to our customers, receive production materials from our suppliers, or perform critical functions, which could adversely affect our revenue and require significant recovery time and </w:t>
      </w:r>
      <w:r>
        <w:rPr>
          <w:rFonts w:ascii="Arial" w:eastAsia="宋体" w:hAnsi="Arial" w:cs="Arial"/>
          <w:color w:val="333333"/>
          <w:sz w:val="18"/>
          <w:szCs w:val="18"/>
        </w:rPr>
        <w:t xml:space="preserve">expenditures to resume operations. While we maintain business recovery plans that are intended to enable us to recover from natural disasters or other events that can be disruptive to our business, some of our systems are not fully redundant and we cannot </w:t>
      </w:r>
      <w:r>
        <w:rPr>
          <w:rFonts w:ascii="Arial" w:eastAsia="宋体" w:hAnsi="Arial" w:cs="Arial"/>
          <w:color w:val="333333"/>
          <w:sz w:val="18"/>
          <w:szCs w:val="18"/>
        </w:rPr>
        <w:t>be sure that our plans will fully protect us from all such disruptions. Furthermore, even if our operations are unaffected or recover quickly, if our customers cannot timely resume their own operations due to a catastrophic event, they may reduce or cancel</w:t>
      </w:r>
      <w:r>
        <w:rPr>
          <w:rFonts w:ascii="Arial" w:eastAsia="宋体" w:hAnsi="Arial" w:cs="Arial"/>
          <w:color w:val="333333"/>
          <w:sz w:val="18"/>
          <w:szCs w:val="18"/>
        </w:rPr>
        <w:t xml:space="preserve"> their orders, which may adversely affect our results of operations.</w:t>
      </w:r>
    </w:p>
    <w:p w14:paraId="3750F580"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We maintain a program of insurance coverage for a variety of property, casualty, and other risks. The types and amounts of insurance we obtain vary depending on availability, cost, and de</w:t>
      </w:r>
      <w:r>
        <w:rPr>
          <w:rFonts w:ascii="Arial" w:eastAsia="宋体" w:hAnsi="Arial" w:cs="Arial"/>
          <w:color w:val="333333"/>
          <w:sz w:val="18"/>
          <w:szCs w:val="18"/>
        </w:rPr>
        <w:t>cisions with respect to risk retention. Some of our policies have large deductibles and broad exclusions. In addition, one or more of our insurance providers may be unable or unwilling to pay a claim. Losses not covered by insurance may be large, which cou</w:t>
      </w:r>
      <w:r>
        <w:rPr>
          <w:rFonts w:ascii="Arial" w:eastAsia="宋体" w:hAnsi="Arial" w:cs="Arial"/>
          <w:color w:val="333333"/>
          <w:sz w:val="18"/>
          <w:szCs w:val="18"/>
        </w:rPr>
        <w:t>ld harm our results of operations and financial condition.</w:t>
      </w:r>
    </w:p>
    <w:p w14:paraId="3750F581" w14:textId="77777777" w:rsidR="002541AD" w:rsidRDefault="002541AD">
      <w:pPr>
        <w:spacing w:line="288" w:lineRule="auto"/>
        <w:rPr>
          <w:rFonts w:ascii="Times New Roman" w:hAnsi="Times New Roman"/>
          <w:sz w:val="18"/>
          <w:szCs w:val="18"/>
        </w:rPr>
      </w:pPr>
    </w:p>
    <w:p w14:paraId="3750F582"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F584" w14:textId="77777777">
        <w:tc>
          <w:tcPr>
            <w:tcW w:w="0" w:type="auto"/>
            <w:gridSpan w:val="3"/>
            <w:shd w:val="clear" w:color="auto" w:fill="auto"/>
            <w:vAlign w:val="center"/>
          </w:tcPr>
          <w:p w14:paraId="3750F583" w14:textId="77777777" w:rsidR="002541AD" w:rsidRDefault="002541AD">
            <w:pPr>
              <w:rPr>
                <w:rFonts w:ascii="Times New Roman" w:hAnsi="Times New Roman"/>
                <w:sz w:val="20"/>
                <w:szCs w:val="20"/>
              </w:rPr>
            </w:pPr>
          </w:p>
        </w:tc>
      </w:tr>
      <w:tr w:rsidR="002541AD" w14:paraId="3750F588" w14:textId="77777777">
        <w:tc>
          <w:tcPr>
            <w:tcW w:w="1550" w:type="pct"/>
            <w:shd w:val="clear" w:color="auto" w:fill="auto"/>
            <w:vAlign w:val="center"/>
          </w:tcPr>
          <w:p w14:paraId="3750F585" w14:textId="77777777" w:rsidR="002541AD" w:rsidRDefault="002541AD">
            <w:pPr>
              <w:rPr>
                <w:rFonts w:ascii="Times New Roman" w:hAnsi="Times New Roman"/>
                <w:sz w:val="20"/>
                <w:szCs w:val="20"/>
              </w:rPr>
            </w:pPr>
          </w:p>
        </w:tc>
        <w:tc>
          <w:tcPr>
            <w:tcW w:w="2200" w:type="pct"/>
            <w:shd w:val="clear" w:color="auto" w:fill="auto"/>
            <w:vAlign w:val="center"/>
          </w:tcPr>
          <w:p w14:paraId="3750F586" w14:textId="77777777" w:rsidR="002541AD" w:rsidRDefault="002541AD">
            <w:pPr>
              <w:rPr>
                <w:rFonts w:ascii="Times New Roman" w:hAnsi="Times New Roman"/>
                <w:sz w:val="20"/>
                <w:szCs w:val="20"/>
              </w:rPr>
            </w:pPr>
          </w:p>
        </w:tc>
        <w:tc>
          <w:tcPr>
            <w:tcW w:w="1250" w:type="pct"/>
            <w:shd w:val="clear" w:color="auto" w:fill="auto"/>
            <w:vAlign w:val="center"/>
          </w:tcPr>
          <w:p w14:paraId="3750F587" w14:textId="77777777" w:rsidR="002541AD" w:rsidRDefault="002541AD">
            <w:pPr>
              <w:rPr>
                <w:rFonts w:ascii="Times New Roman" w:hAnsi="Times New Roman"/>
                <w:sz w:val="20"/>
                <w:szCs w:val="20"/>
              </w:rPr>
            </w:pPr>
          </w:p>
        </w:tc>
      </w:tr>
      <w:tr w:rsidR="002541AD" w14:paraId="3750F58C"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F589"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DE" wp14:editId="3750F8DF">
                  <wp:extent cx="304800" cy="304800"/>
                  <wp:effectExtent l="0" t="0" r="0" b="0"/>
                  <wp:docPr id="89" name="图片 140"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40"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58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58B"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42</w:t>
            </w:r>
          </w:p>
        </w:tc>
      </w:tr>
    </w:tbl>
    <w:p w14:paraId="3750F58D" w14:textId="77777777" w:rsidR="002541AD" w:rsidRDefault="002541AD">
      <w:pPr>
        <w:spacing w:line="288" w:lineRule="auto"/>
        <w:rPr>
          <w:rFonts w:ascii="Times New Roman" w:hAnsi="Times New Roman"/>
          <w:sz w:val="18"/>
          <w:szCs w:val="18"/>
        </w:rPr>
      </w:pPr>
    </w:p>
    <w:p w14:paraId="3750F58E" w14:textId="77777777" w:rsidR="002541AD" w:rsidRDefault="00901AA6">
      <w:r>
        <w:rPr>
          <w:rFonts w:ascii="Times New Roman" w:hAnsi="Times New Roman"/>
          <w:sz w:val="18"/>
          <w:szCs w:val="18"/>
        </w:rPr>
        <w:pict w14:anchorId="3750F8E0">
          <v:rect id="_x0000_i1068" style="width:415.3pt;height:1.5pt" o:hralign="center" o:hrstd="t" o:hr="t" fillcolor="#a0a0a0" stroked="f"/>
        </w:pict>
      </w:r>
    </w:p>
    <w:p w14:paraId="3750F58F" w14:textId="77777777" w:rsidR="002541AD" w:rsidRDefault="00901AA6">
      <w:pPr>
        <w:spacing w:line="288" w:lineRule="auto"/>
        <w:jc w:val="right"/>
        <w:rPr>
          <w:rFonts w:ascii="Times New Roman" w:hAnsi="Times New Roman"/>
          <w:sz w:val="16"/>
          <w:szCs w:val="16"/>
        </w:rPr>
      </w:pPr>
      <w:hyperlink r:id="rId71" w:anchor="s2CABEAF4222C52B4A34547BF538A8C27" w:history="1">
        <w:r>
          <w:rPr>
            <w:rStyle w:val="a5"/>
            <w:rFonts w:ascii="Arial" w:eastAsia="宋体" w:hAnsi="Arial" w:cs="Arial"/>
            <w:b/>
            <w:bCs/>
            <w:sz w:val="16"/>
            <w:szCs w:val="16"/>
          </w:rPr>
          <w:t>Table of Contents</w:t>
        </w:r>
      </w:hyperlink>
    </w:p>
    <w:p w14:paraId="3750F590" w14:textId="77777777" w:rsidR="002541AD" w:rsidRDefault="002541AD">
      <w:pPr>
        <w:spacing w:line="288" w:lineRule="auto"/>
        <w:jc w:val="right"/>
        <w:rPr>
          <w:rFonts w:ascii="Times New Roman" w:hAnsi="Times New Roman"/>
          <w:sz w:val="18"/>
          <w:szCs w:val="18"/>
        </w:rPr>
      </w:pPr>
    </w:p>
    <w:p w14:paraId="3750F591" w14:textId="77777777" w:rsidR="002541AD" w:rsidRDefault="002541AD">
      <w:pPr>
        <w:rPr>
          <w:rFonts w:ascii="Times New Roman" w:hAnsi="Times New Roman"/>
          <w:sz w:val="20"/>
          <w:szCs w:val="20"/>
        </w:rPr>
      </w:pPr>
    </w:p>
    <w:p w14:paraId="3750F592"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CONTROLS AND PROCEDURES</w:t>
      </w:r>
    </w:p>
    <w:p w14:paraId="3750F593" w14:textId="77777777" w:rsidR="002541AD" w:rsidRDefault="00901AA6">
      <w:pPr>
        <w:spacing w:line="288" w:lineRule="auto"/>
        <w:rPr>
          <w:rFonts w:ascii="Times New Roman" w:hAnsi="Times New Roman"/>
          <w:sz w:val="20"/>
          <w:szCs w:val="20"/>
        </w:rPr>
      </w:pPr>
      <w:r>
        <w:rPr>
          <w:rFonts w:ascii="Arial" w:eastAsia="宋体" w:hAnsi="Arial" w:cs="Arial"/>
          <w:b/>
          <w:bCs/>
          <w:color w:val="333333"/>
          <w:sz w:val="20"/>
          <w:szCs w:val="20"/>
        </w:rPr>
        <w:t xml:space="preserve">Inherent Limitations on Effectiveness of </w:t>
      </w:r>
      <w:r>
        <w:rPr>
          <w:rFonts w:ascii="Arial" w:eastAsia="宋体" w:hAnsi="Arial" w:cs="Arial"/>
          <w:b/>
          <w:bCs/>
          <w:color w:val="333333"/>
          <w:sz w:val="20"/>
          <w:szCs w:val="20"/>
        </w:rPr>
        <w:t>Controls</w:t>
      </w:r>
    </w:p>
    <w:p w14:paraId="3750F594"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Our management, including the principal executive officer and principal financial officer, does not expect that our disclosure controls and procedures or our internal control over financial reporting will prevent or detect all errors and all fraud</w:t>
      </w:r>
      <w:r>
        <w:rPr>
          <w:rFonts w:ascii="Arial" w:eastAsia="宋体" w:hAnsi="Arial" w:cs="Arial"/>
          <w:color w:val="333333"/>
          <w:sz w:val="18"/>
          <w:szCs w:val="18"/>
        </w:rPr>
        <w:t>. A control system, no matter how well-designed and operated, can provide only reasonable, not absolute, assurance that the control system’s objectives will be met. The design of a control system must reflect the fact that there are resource constraints, a</w:t>
      </w:r>
      <w:r>
        <w:rPr>
          <w:rFonts w:ascii="Arial" w:eastAsia="宋体" w:hAnsi="Arial" w:cs="Arial"/>
          <w:color w:val="333333"/>
          <w:sz w:val="18"/>
          <w:szCs w:val="18"/>
        </w:rPr>
        <w:t>nd the benefits of controls must be considered relative to their costs. Further, because of the inherent limitations in all control systems, no evaluation of controls can provide absolute assurance that misstatements due to error or fraud will not occur or</w:t>
      </w:r>
      <w:r>
        <w:rPr>
          <w:rFonts w:ascii="Arial" w:eastAsia="宋体" w:hAnsi="Arial" w:cs="Arial"/>
          <w:color w:val="333333"/>
          <w:sz w:val="18"/>
          <w:szCs w:val="18"/>
        </w:rPr>
        <w:t xml:space="preserve"> that all control issues and instances of fraud, if any, have been detected.</w:t>
      </w:r>
    </w:p>
    <w:p w14:paraId="3750F595" w14:textId="77777777" w:rsidR="002541AD" w:rsidRDefault="00901AA6">
      <w:pPr>
        <w:spacing w:line="288" w:lineRule="auto"/>
        <w:rPr>
          <w:rFonts w:ascii="Times New Roman" w:hAnsi="Times New Roman"/>
          <w:sz w:val="20"/>
          <w:szCs w:val="20"/>
        </w:rPr>
      </w:pPr>
      <w:r>
        <w:rPr>
          <w:rFonts w:ascii="Arial" w:eastAsia="宋体" w:hAnsi="Arial" w:cs="Arial"/>
          <w:b/>
          <w:bCs/>
          <w:color w:val="333333"/>
          <w:sz w:val="20"/>
          <w:szCs w:val="20"/>
        </w:rPr>
        <w:t>Evaluation of Disclosure Controls and Procedures</w:t>
      </w:r>
    </w:p>
    <w:p w14:paraId="3750F596"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Due to the COVID-19 pandemic, a significant portion of our employees are now working from home, while also under shelter-in-place </w:t>
      </w:r>
      <w:r>
        <w:rPr>
          <w:rFonts w:ascii="Arial" w:eastAsia="宋体" w:hAnsi="Arial" w:cs="Arial"/>
          <w:color w:val="333333"/>
          <w:sz w:val="18"/>
          <w:szCs w:val="18"/>
        </w:rPr>
        <w:t>orders or other restrictions. Established business continuity plans were activated in order to mitigate the impact to our control environment, operating procedures, data and internal controls. The design of our processes and controls allow for remote execu</w:t>
      </w:r>
      <w:r>
        <w:rPr>
          <w:rFonts w:ascii="Arial" w:eastAsia="宋体" w:hAnsi="Arial" w:cs="Arial"/>
          <w:color w:val="333333"/>
          <w:sz w:val="18"/>
          <w:szCs w:val="18"/>
        </w:rPr>
        <w:t>tion with accessibility to secure data.</w:t>
      </w:r>
    </w:p>
    <w:p w14:paraId="3750F597"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Based on management’s evaluation (with the participation of our principal executive officer and principal financial officer), as of the end of the period covered by this report, our principal executive officer and pr</w:t>
      </w:r>
      <w:r>
        <w:rPr>
          <w:rFonts w:ascii="Arial" w:eastAsia="宋体" w:hAnsi="Arial" w:cs="Arial"/>
          <w:color w:val="333333"/>
          <w:sz w:val="18"/>
          <w:szCs w:val="18"/>
        </w:rPr>
        <w:t xml:space="preserve">incipal financial officer have concluded that our disclosure controls and procedures (as defined in Rules 13a-15(e) and 15d-15(e) under the Securities Exchange Act of 1934, as amended (the Exchange Act)), are effective to provide reasonable assurance that </w:t>
      </w:r>
      <w:r>
        <w:rPr>
          <w:rFonts w:ascii="Arial" w:eastAsia="宋体" w:hAnsi="Arial" w:cs="Arial"/>
          <w:color w:val="333333"/>
          <w:sz w:val="18"/>
          <w:szCs w:val="18"/>
        </w:rPr>
        <w:t>information required to be disclosed by us in reports that we file or submit under the Exchange Act is recorded, processed, summarized, and reported within the time periods specified in SEC rules and forms, and is accumulated and communicated to management</w:t>
      </w:r>
      <w:r>
        <w:rPr>
          <w:rFonts w:ascii="Arial" w:eastAsia="宋体" w:hAnsi="Arial" w:cs="Arial"/>
          <w:color w:val="333333"/>
          <w:sz w:val="18"/>
          <w:szCs w:val="18"/>
        </w:rPr>
        <w:t>, including our principal executive officer and principal financial officer, as appropriate, to allow timely decisions regarding required disclosure.</w:t>
      </w:r>
    </w:p>
    <w:p w14:paraId="3750F598" w14:textId="77777777" w:rsidR="002541AD" w:rsidRDefault="00901AA6">
      <w:pPr>
        <w:spacing w:line="288" w:lineRule="auto"/>
        <w:rPr>
          <w:rFonts w:ascii="Times New Roman" w:hAnsi="Times New Roman"/>
          <w:sz w:val="20"/>
          <w:szCs w:val="20"/>
        </w:rPr>
      </w:pPr>
      <w:r>
        <w:rPr>
          <w:rFonts w:ascii="Arial" w:eastAsia="宋体" w:hAnsi="Arial" w:cs="Arial"/>
          <w:b/>
          <w:bCs/>
          <w:color w:val="333333"/>
          <w:sz w:val="20"/>
          <w:szCs w:val="20"/>
        </w:rPr>
        <w:t>Changes in Internal Control Over Financial Reporting</w:t>
      </w:r>
    </w:p>
    <w:p w14:paraId="3750F599"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There were no changes to our internal control over fi</w:t>
      </w:r>
      <w:r>
        <w:rPr>
          <w:rFonts w:ascii="Arial" w:eastAsia="宋体" w:hAnsi="Arial" w:cs="Arial"/>
          <w:color w:val="333333"/>
          <w:sz w:val="18"/>
          <w:szCs w:val="18"/>
        </w:rPr>
        <w:t>nancial reporting (as defined in Rules 13a-15(f) and 15d-15(f) under the Exchange Act) that occurred during the quarter ended March 28, 2020 that have materially affected, or are reasonably likely to materially affect, our internal control over financial r</w:t>
      </w:r>
      <w:r>
        <w:rPr>
          <w:rFonts w:ascii="Arial" w:eastAsia="宋体" w:hAnsi="Arial" w:cs="Arial"/>
          <w:color w:val="333333"/>
          <w:sz w:val="18"/>
          <w:szCs w:val="18"/>
        </w:rPr>
        <w:t>eporting.</w:t>
      </w:r>
    </w:p>
    <w:p w14:paraId="3750F59A"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ISSUER PURCHASES OF EQUITY SECURITIES</w:t>
      </w:r>
    </w:p>
    <w:p w14:paraId="3750F59B"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We have an ongoing authorization, originally approved by our Board of Directors in 2005 and subsequently amended, to repurchase shares of our common stock in open market or negotiated transactions. On March 2</w:t>
      </w:r>
      <w:r>
        <w:rPr>
          <w:rFonts w:ascii="Arial" w:eastAsia="宋体" w:hAnsi="Arial" w:cs="Arial"/>
          <w:color w:val="333333"/>
          <w:sz w:val="18"/>
          <w:szCs w:val="18"/>
        </w:rPr>
        <w:t>4, 2020, we suspended stock repurchases in light of the COVID-19 pandemic and we have the ability to reinstate repurchases as circumstances warrant. As of March 28, 2020, we were authorized to repurchase up to $110.0 billion, of which $19.7 billion remaine</w:t>
      </w:r>
      <w:r>
        <w:rPr>
          <w:rFonts w:ascii="Arial" w:eastAsia="宋体" w:hAnsi="Arial" w:cs="Arial"/>
          <w:color w:val="333333"/>
          <w:sz w:val="18"/>
          <w:szCs w:val="18"/>
        </w:rPr>
        <w:t xml:space="preserve">d available. </w:t>
      </w:r>
    </w:p>
    <w:p w14:paraId="3750F59C" w14:textId="77777777" w:rsidR="002541AD" w:rsidRDefault="00901AA6">
      <w:pPr>
        <w:spacing w:line="288" w:lineRule="auto"/>
        <w:rPr>
          <w:rFonts w:ascii="Times New Roman" w:hAnsi="Times New Roman"/>
          <w:sz w:val="20"/>
          <w:szCs w:val="20"/>
        </w:rPr>
      </w:pPr>
      <w:r>
        <w:rPr>
          <w:rFonts w:ascii="Arial" w:eastAsia="宋体" w:hAnsi="Arial" w:cs="Arial"/>
          <w:color w:val="333333"/>
          <w:sz w:val="18"/>
          <w:szCs w:val="18"/>
        </w:rPr>
        <w:t>Common stock repurchase activity under our publicly announced stock repurchase program during the first quarter of 2020 was as follows:</w:t>
      </w:r>
    </w:p>
    <w:tbl>
      <w:tblPr>
        <w:tblW w:w="5000" w:type="pct"/>
        <w:tblCellMar>
          <w:left w:w="0" w:type="dxa"/>
          <w:right w:w="0" w:type="dxa"/>
        </w:tblCellMar>
        <w:tblLook w:val="04A0" w:firstRow="1" w:lastRow="0" w:firstColumn="1" w:lastColumn="0" w:noHBand="0" w:noVBand="1"/>
      </w:tblPr>
      <w:tblGrid>
        <w:gridCol w:w="3615"/>
        <w:gridCol w:w="130"/>
        <w:gridCol w:w="1164"/>
        <w:gridCol w:w="77"/>
        <w:gridCol w:w="130"/>
        <w:gridCol w:w="142"/>
        <w:gridCol w:w="1182"/>
        <w:gridCol w:w="84"/>
        <w:gridCol w:w="130"/>
        <w:gridCol w:w="142"/>
        <w:gridCol w:w="1410"/>
        <w:gridCol w:w="100"/>
      </w:tblGrid>
      <w:tr w:rsidR="002541AD" w14:paraId="3750F59E" w14:textId="77777777">
        <w:tc>
          <w:tcPr>
            <w:tcW w:w="0" w:type="auto"/>
            <w:gridSpan w:val="12"/>
            <w:shd w:val="clear" w:color="auto" w:fill="auto"/>
            <w:vAlign w:val="center"/>
          </w:tcPr>
          <w:p w14:paraId="3750F59D" w14:textId="77777777" w:rsidR="002541AD" w:rsidRDefault="002541AD">
            <w:pPr>
              <w:rPr>
                <w:rFonts w:ascii="Times New Roman" w:hAnsi="Times New Roman"/>
                <w:sz w:val="20"/>
                <w:szCs w:val="20"/>
              </w:rPr>
            </w:pPr>
          </w:p>
        </w:tc>
      </w:tr>
      <w:tr w:rsidR="002541AD" w14:paraId="3750F5AB" w14:textId="77777777">
        <w:tc>
          <w:tcPr>
            <w:tcW w:w="2450" w:type="pct"/>
            <w:shd w:val="clear" w:color="auto" w:fill="auto"/>
            <w:vAlign w:val="center"/>
          </w:tcPr>
          <w:p w14:paraId="3750F59F" w14:textId="77777777" w:rsidR="002541AD" w:rsidRDefault="002541AD">
            <w:pPr>
              <w:rPr>
                <w:rFonts w:ascii="Times New Roman" w:hAnsi="Times New Roman"/>
                <w:sz w:val="20"/>
                <w:szCs w:val="20"/>
              </w:rPr>
            </w:pPr>
          </w:p>
        </w:tc>
        <w:tc>
          <w:tcPr>
            <w:tcW w:w="50" w:type="pct"/>
            <w:shd w:val="clear" w:color="auto" w:fill="auto"/>
            <w:vAlign w:val="center"/>
          </w:tcPr>
          <w:p w14:paraId="3750F5A0" w14:textId="77777777" w:rsidR="002541AD" w:rsidRDefault="002541AD">
            <w:pPr>
              <w:rPr>
                <w:rFonts w:ascii="Times New Roman" w:hAnsi="Times New Roman"/>
                <w:sz w:val="20"/>
                <w:szCs w:val="20"/>
              </w:rPr>
            </w:pPr>
          </w:p>
        </w:tc>
        <w:tc>
          <w:tcPr>
            <w:tcW w:w="750" w:type="pct"/>
            <w:shd w:val="clear" w:color="auto" w:fill="auto"/>
            <w:vAlign w:val="center"/>
          </w:tcPr>
          <w:p w14:paraId="3750F5A1" w14:textId="77777777" w:rsidR="002541AD" w:rsidRDefault="002541AD">
            <w:pPr>
              <w:rPr>
                <w:rFonts w:ascii="Times New Roman" w:hAnsi="Times New Roman"/>
                <w:sz w:val="20"/>
                <w:szCs w:val="20"/>
              </w:rPr>
            </w:pPr>
          </w:p>
        </w:tc>
        <w:tc>
          <w:tcPr>
            <w:tcW w:w="50" w:type="pct"/>
            <w:shd w:val="clear" w:color="auto" w:fill="auto"/>
            <w:vAlign w:val="center"/>
          </w:tcPr>
          <w:p w14:paraId="3750F5A2" w14:textId="77777777" w:rsidR="002541AD" w:rsidRDefault="002541AD">
            <w:pPr>
              <w:rPr>
                <w:rFonts w:ascii="Times New Roman" w:hAnsi="Times New Roman"/>
                <w:sz w:val="20"/>
                <w:szCs w:val="20"/>
              </w:rPr>
            </w:pPr>
          </w:p>
        </w:tc>
        <w:tc>
          <w:tcPr>
            <w:tcW w:w="50" w:type="pct"/>
            <w:shd w:val="clear" w:color="auto" w:fill="auto"/>
            <w:vAlign w:val="center"/>
          </w:tcPr>
          <w:p w14:paraId="3750F5A3" w14:textId="77777777" w:rsidR="002541AD" w:rsidRDefault="002541AD">
            <w:pPr>
              <w:rPr>
                <w:rFonts w:ascii="Times New Roman" w:hAnsi="Times New Roman"/>
                <w:sz w:val="20"/>
                <w:szCs w:val="20"/>
              </w:rPr>
            </w:pPr>
          </w:p>
        </w:tc>
        <w:tc>
          <w:tcPr>
            <w:tcW w:w="50" w:type="pct"/>
            <w:shd w:val="clear" w:color="auto" w:fill="auto"/>
            <w:vAlign w:val="center"/>
          </w:tcPr>
          <w:p w14:paraId="3750F5A4" w14:textId="77777777" w:rsidR="002541AD" w:rsidRDefault="002541AD">
            <w:pPr>
              <w:rPr>
                <w:rFonts w:ascii="Times New Roman" w:hAnsi="Times New Roman"/>
                <w:sz w:val="20"/>
                <w:szCs w:val="20"/>
              </w:rPr>
            </w:pPr>
          </w:p>
        </w:tc>
        <w:tc>
          <w:tcPr>
            <w:tcW w:w="700" w:type="pct"/>
            <w:shd w:val="clear" w:color="auto" w:fill="auto"/>
            <w:vAlign w:val="center"/>
          </w:tcPr>
          <w:p w14:paraId="3750F5A5" w14:textId="77777777" w:rsidR="002541AD" w:rsidRDefault="002541AD">
            <w:pPr>
              <w:rPr>
                <w:rFonts w:ascii="Times New Roman" w:hAnsi="Times New Roman"/>
                <w:sz w:val="20"/>
                <w:szCs w:val="20"/>
              </w:rPr>
            </w:pPr>
          </w:p>
        </w:tc>
        <w:tc>
          <w:tcPr>
            <w:tcW w:w="50" w:type="pct"/>
            <w:shd w:val="clear" w:color="auto" w:fill="auto"/>
            <w:vAlign w:val="center"/>
          </w:tcPr>
          <w:p w14:paraId="3750F5A6" w14:textId="77777777" w:rsidR="002541AD" w:rsidRDefault="002541AD">
            <w:pPr>
              <w:rPr>
                <w:rFonts w:ascii="Times New Roman" w:hAnsi="Times New Roman"/>
                <w:sz w:val="20"/>
                <w:szCs w:val="20"/>
              </w:rPr>
            </w:pPr>
          </w:p>
        </w:tc>
        <w:tc>
          <w:tcPr>
            <w:tcW w:w="50" w:type="pct"/>
            <w:shd w:val="clear" w:color="auto" w:fill="auto"/>
            <w:vAlign w:val="center"/>
          </w:tcPr>
          <w:p w14:paraId="3750F5A7" w14:textId="77777777" w:rsidR="002541AD" w:rsidRDefault="002541AD">
            <w:pPr>
              <w:rPr>
                <w:rFonts w:ascii="Times New Roman" w:hAnsi="Times New Roman"/>
                <w:sz w:val="20"/>
                <w:szCs w:val="20"/>
              </w:rPr>
            </w:pPr>
          </w:p>
        </w:tc>
        <w:tc>
          <w:tcPr>
            <w:tcW w:w="50" w:type="pct"/>
            <w:shd w:val="clear" w:color="auto" w:fill="auto"/>
            <w:vAlign w:val="center"/>
          </w:tcPr>
          <w:p w14:paraId="3750F5A8" w14:textId="77777777" w:rsidR="002541AD" w:rsidRDefault="002541AD">
            <w:pPr>
              <w:rPr>
                <w:rFonts w:ascii="Times New Roman" w:hAnsi="Times New Roman"/>
                <w:sz w:val="20"/>
                <w:szCs w:val="20"/>
              </w:rPr>
            </w:pPr>
          </w:p>
        </w:tc>
        <w:tc>
          <w:tcPr>
            <w:tcW w:w="700" w:type="pct"/>
            <w:shd w:val="clear" w:color="auto" w:fill="auto"/>
            <w:vAlign w:val="center"/>
          </w:tcPr>
          <w:p w14:paraId="3750F5A9" w14:textId="77777777" w:rsidR="002541AD" w:rsidRDefault="002541AD">
            <w:pPr>
              <w:rPr>
                <w:rFonts w:ascii="Times New Roman" w:hAnsi="Times New Roman"/>
                <w:sz w:val="20"/>
                <w:szCs w:val="20"/>
              </w:rPr>
            </w:pPr>
          </w:p>
        </w:tc>
        <w:tc>
          <w:tcPr>
            <w:tcW w:w="50" w:type="pct"/>
            <w:shd w:val="clear" w:color="auto" w:fill="auto"/>
            <w:vAlign w:val="center"/>
          </w:tcPr>
          <w:p w14:paraId="3750F5AA" w14:textId="77777777" w:rsidR="002541AD" w:rsidRDefault="002541AD">
            <w:pPr>
              <w:rPr>
                <w:rFonts w:ascii="Times New Roman" w:hAnsi="Times New Roman"/>
                <w:sz w:val="20"/>
                <w:szCs w:val="20"/>
              </w:rPr>
            </w:pPr>
          </w:p>
        </w:tc>
      </w:tr>
      <w:tr w:rsidR="002541AD" w14:paraId="3750F5B3"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F5AC" w14:textId="77777777" w:rsidR="002541AD" w:rsidRDefault="00901AA6">
            <w:pPr>
              <w:ind w:hanging="240"/>
              <w:textAlignment w:val="bottom"/>
              <w:rPr>
                <w:rFonts w:ascii="Times New Roman" w:hAnsi="Times New Roman"/>
                <w:sz w:val="18"/>
                <w:szCs w:val="18"/>
              </w:rPr>
            </w:pPr>
            <w:r>
              <w:rPr>
                <w:rFonts w:ascii="Arial" w:eastAsia="宋体" w:hAnsi="Arial" w:cs="Arial"/>
                <w:b/>
                <w:bCs/>
                <w:color w:val="333333"/>
                <w:sz w:val="18"/>
                <w:szCs w:val="18"/>
              </w:rPr>
              <w:t>Period</w:t>
            </w:r>
          </w:p>
        </w:tc>
        <w:tc>
          <w:tcPr>
            <w:tcW w:w="0" w:type="auto"/>
            <w:shd w:val="clear" w:color="auto" w:fill="auto"/>
            <w:tcMar>
              <w:top w:w="40" w:type="dxa"/>
              <w:left w:w="40" w:type="dxa"/>
              <w:bottom w:w="40" w:type="dxa"/>
              <w:right w:w="40" w:type="dxa"/>
            </w:tcMar>
            <w:vAlign w:val="bottom"/>
          </w:tcPr>
          <w:p w14:paraId="3750F5A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71C5"/>
            </w:tcBorders>
            <w:shd w:val="clear" w:color="auto" w:fill="auto"/>
            <w:tcMar>
              <w:top w:w="40" w:type="dxa"/>
              <w:left w:w="40" w:type="dxa"/>
              <w:bottom w:w="40" w:type="dxa"/>
              <w:right w:w="40" w:type="dxa"/>
            </w:tcMar>
            <w:vAlign w:val="bottom"/>
          </w:tcPr>
          <w:p w14:paraId="3750F5AE"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Total Number</w:t>
            </w:r>
            <w:r>
              <w:rPr>
                <w:rFonts w:ascii="Arial" w:eastAsia="宋体" w:hAnsi="Arial" w:cs="Arial"/>
                <w:b/>
                <w:bCs/>
                <w:color w:val="333333"/>
                <w:sz w:val="18"/>
                <w:szCs w:val="18"/>
              </w:rPr>
              <w:br/>
              <w:t>of Shares</w:t>
            </w:r>
            <w:r>
              <w:rPr>
                <w:rFonts w:ascii="Arial" w:eastAsia="宋体" w:hAnsi="Arial" w:cs="Arial"/>
                <w:b/>
                <w:bCs/>
                <w:color w:val="333333"/>
                <w:sz w:val="18"/>
                <w:szCs w:val="18"/>
              </w:rPr>
              <w:br/>
              <w:t>Purchased</w:t>
            </w:r>
            <w:r>
              <w:rPr>
                <w:rFonts w:ascii="Arial" w:eastAsia="宋体" w:hAnsi="Arial" w:cs="Arial"/>
                <w:b/>
                <w:bCs/>
                <w:color w:val="333333"/>
                <w:sz w:val="18"/>
                <w:szCs w:val="18"/>
              </w:rPr>
              <w:br/>
              <w:t>(In Millions)</w:t>
            </w:r>
          </w:p>
        </w:tc>
        <w:tc>
          <w:tcPr>
            <w:tcW w:w="0" w:type="auto"/>
            <w:shd w:val="clear" w:color="auto" w:fill="auto"/>
            <w:tcMar>
              <w:top w:w="40" w:type="dxa"/>
              <w:left w:w="40" w:type="dxa"/>
              <w:bottom w:w="40" w:type="dxa"/>
              <w:right w:w="40" w:type="dxa"/>
            </w:tcMar>
            <w:vAlign w:val="bottom"/>
          </w:tcPr>
          <w:p w14:paraId="3750F5A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F5B0"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Average Price</w:t>
            </w:r>
            <w:r>
              <w:rPr>
                <w:rFonts w:ascii="Arial" w:eastAsia="宋体" w:hAnsi="Arial" w:cs="Arial"/>
                <w:b/>
                <w:bCs/>
                <w:color w:val="333333"/>
                <w:sz w:val="18"/>
                <w:szCs w:val="18"/>
              </w:rPr>
              <w:br/>
            </w:r>
            <w:r>
              <w:rPr>
                <w:rFonts w:ascii="Arial" w:eastAsia="宋体" w:hAnsi="Arial" w:cs="Arial"/>
                <w:b/>
                <w:bCs/>
                <w:color w:val="333333"/>
                <w:sz w:val="18"/>
                <w:szCs w:val="18"/>
              </w:rPr>
              <w:t>Paid Per Share</w:t>
            </w:r>
          </w:p>
        </w:tc>
        <w:tc>
          <w:tcPr>
            <w:tcW w:w="0" w:type="auto"/>
            <w:shd w:val="clear" w:color="auto" w:fill="auto"/>
            <w:tcMar>
              <w:top w:w="40" w:type="dxa"/>
              <w:left w:w="40" w:type="dxa"/>
              <w:bottom w:w="40" w:type="dxa"/>
              <w:right w:w="40" w:type="dxa"/>
            </w:tcMar>
            <w:vAlign w:val="bottom"/>
          </w:tcPr>
          <w:p w14:paraId="3750F5B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71C5"/>
            </w:tcBorders>
            <w:shd w:val="clear" w:color="auto" w:fill="auto"/>
            <w:tcMar>
              <w:top w:w="40" w:type="dxa"/>
              <w:left w:w="40" w:type="dxa"/>
              <w:bottom w:w="40" w:type="dxa"/>
              <w:right w:w="40" w:type="dxa"/>
            </w:tcMar>
            <w:vAlign w:val="bottom"/>
          </w:tcPr>
          <w:p w14:paraId="3750F5B2"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Dollar Value of</w:t>
            </w:r>
            <w:r>
              <w:rPr>
                <w:rFonts w:ascii="Arial" w:eastAsia="宋体" w:hAnsi="Arial" w:cs="Arial"/>
                <w:b/>
                <w:bCs/>
                <w:color w:val="333333"/>
                <w:sz w:val="18"/>
                <w:szCs w:val="18"/>
              </w:rPr>
              <w:br/>
              <w:t>Shares That May</w:t>
            </w:r>
            <w:r>
              <w:rPr>
                <w:rFonts w:ascii="Arial" w:eastAsia="宋体" w:hAnsi="Arial" w:cs="Arial"/>
                <w:b/>
                <w:bCs/>
                <w:color w:val="333333"/>
                <w:sz w:val="18"/>
                <w:szCs w:val="18"/>
              </w:rPr>
              <w:br/>
              <w:t>Yet Be Purchased</w:t>
            </w:r>
            <w:r>
              <w:rPr>
                <w:rFonts w:ascii="Arial" w:eastAsia="宋体" w:hAnsi="Arial" w:cs="Arial"/>
                <w:b/>
                <w:bCs/>
                <w:color w:val="333333"/>
                <w:sz w:val="18"/>
                <w:szCs w:val="18"/>
              </w:rPr>
              <w:br/>
              <w:t>Under the Program</w:t>
            </w:r>
            <w:r>
              <w:rPr>
                <w:rFonts w:ascii="Arial" w:eastAsia="宋体" w:hAnsi="Arial" w:cs="Arial"/>
                <w:b/>
                <w:bCs/>
                <w:color w:val="333333"/>
                <w:sz w:val="18"/>
                <w:szCs w:val="18"/>
              </w:rPr>
              <w:br/>
              <w:t>(In Millions)</w:t>
            </w:r>
          </w:p>
        </w:tc>
      </w:tr>
      <w:tr w:rsidR="002541AD" w14:paraId="3750F5C0" w14:textId="77777777">
        <w:tc>
          <w:tcPr>
            <w:tcW w:w="0" w:type="auto"/>
            <w:shd w:val="clear" w:color="auto" w:fill="auto"/>
            <w:tcMar>
              <w:top w:w="40" w:type="dxa"/>
              <w:left w:w="40" w:type="dxa"/>
              <w:bottom w:w="40" w:type="dxa"/>
              <w:right w:w="40" w:type="dxa"/>
            </w:tcMar>
          </w:tcPr>
          <w:p w14:paraId="3750F5B4"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December 29, 2019 - January 25, 2020</w:t>
            </w:r>
          </w:p>
        </w:tc>
        <w:tc>
          <w:tcPr>
            <w:tcW w:w="0" w:type="auto"/>
            <w:shd w:val="clear" w:color="auto" w:fill="auto"/>
            <w:tcMar>
              <w:top w:w="40" w:type="dxa"/>
              <w:left w:w="40" w:type="dxa"/>
              <w:bottom w:w="40" w:type="dxa"/>
              <w:right w:w="40" w:type="dxa"/>
            </w:tcMar>
            <w:vAlign w:val="bottom"/>
          </w:tcPr>
          <w:p w14:paraId="3750F5B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5B6"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17.9</w:t>
            </w:r>
          </w:p>
        </w:tc>
        <w:tc>
          <w:tcPr>
            <w:tcW w:w="0" w:type="auto"/>
            <w:shd w:val="clear" w:color="auto" w:fill="auto"/>
            <w:vAlign w:val="bottom"/>
          </w:tcPr>
          <w:p w14:paraId="3750F5B7"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5B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5B9"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F5BA"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60.39</w:t>
            </w:r>
          </w:p>
        </w:tc>
        <w:tc>
          <w:tcPr>
            <w:tcW w:w="0" w:type="auto"/>
            <w:shd w:val="clear" w:color="auto" w:fill="auto"/>
            <w:vAlign w:val="bottom"/>
          </w:tcPr>
          <w:p w14:paraId="3750F5BB"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5B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5BD"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3750F5BE"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22,687</w:t>
            </w:r>
          </w:p>
        </w:tc>
        <w:tc>
          <w:tcPr>
            <w:tcW w:w="0" w:type="auto"/>
            <w:shd w:val="clear" w:color="auto" w:fill="auto"/>
            <w:vAlign w:val="bottom"/>
          </w:tcPr>
          <w:p w14:paraId="3750F5BF" w14:textId="77777777" w:rsidR="002541AD" w:rsidRDefault="002541AD">
            <w:pPr>
              <w:textAlignment w:val="bottom"/>
              <w:rPr>
                <w:rFonts w:ascii="Times New Roman" w:hAnsi="Times New Roman"/>
                <w:sz w:val="20"/>
                <w:szCs w:val="20"/>
              </w:rPr>
            </w:pPr>
          </w:p>
        </w:tc>
      </w:tr>
      <w:tr w:rsidR="002541AD" w14:paraId="3750F5CD" w14:textId="77777777">
        <w:tc>
          <w:tcPr>
            <w:tcW w:w="0" w:type="auto"/>
            <w:shd w:val="clear" w:color="auto" w:fill="auto"/>
            <w:tcMar>
              <w:top w:w="40" w:type="dxa"/>
              <w:left w:w="40" w:type="dxa"/>
              <w:bottom w:w="40" w:type="dxa"/>
              <w:right w:w="40" w:type="dxa"/>
            </w:tcMar>
          </w:tcPr>
          <w:p w14:paraId="3750F5C1"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January 26, 2020 - February 22, 2020</w:t>
            </w:r>
          </w:p>
        </w:tc>
        <w:tc>
          <w:tcPr>
            <w:tcW w:w="0" w:type="auto"/>
            <w:shd w:val="clear" w:color="auto" w:fill="auto"/>
            <w:tcMar>
              <w:top w:w="40" w:type="dxa"/>
              <w:left w:w="40" w:type="dxa"/>
              <w:bottom w:w="40" w:type="dxa"/>
              <w:right w:w="40" w:type="dxa"/>
            </w:tcMar>
            <w:vAlign w:val="bottom"/>
          </w:tcPr>
          <w:p w14:paraId="3750F5C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5C3"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17.2</w:t>
            </w:r>
          </w:p>
        </w:tc>
        <w:tc>
          <w:tcPr>
            <w:tcW w:w="0" w:type="auto"/>
            <w:shd w:val="clear" w:color="auto" w:fill="auto"/>
            <w:vAlign w:val="bottom"/>
          </w:tcPr>
          <w:p w14:paraId="3750F5C4"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5C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5C6"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F5C7"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66.27</w:t>
            </w:r>
          </w:p>
        </w:tc>
        <w:tc>
          <w:tcPr>
            <w:tcW w:w="0" w:type="auto"/>
            <w:shd w:val="clear" w:color="auto" w:fill="auto"/>
            <w:vAlign w:val="bottom"/>
          </w:tcPr>
          <w:p w14:paraId="3750F5C8"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5C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5CA"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3750F5CB"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21,547</w:t>
            </w:r>
          </w:p>
        </w:tc>
        <w:tc>
          <w:tcPr>
            <w:tcW w:w="0" w:type="auto"/>
            <w:shd w:val="clear" w:color="auto" w:fill="auto"/>
            <w:vAlign w:val="bottom"/>
          </w:tcPr>
          <w:p w14:paraId="3750F5CC" w14:textId="77777777" w:rsidR="002541AD" w:rsidRDefault="002541AD">
            <w:pPr>
              <w:textAlignment w:val="bottom"/>
              <w:rPr>
                <w:rFonts w:ascii="Times New Roman" w:hAnsi="Times New Roman"/>
                <w:sz w:val="20"/>
                <w:szCs w:val="20"/>
              </w:rPr>
            </w:pPr>
          </w:p>
        </w:tc>
      </w:tr>
      <w:tr w:rsidR="002541AD" w14:paraId="3750F5DA" w14:textId="77777777">
        <w:tc>
          <w:tcPr>
            <w:tcW w:w="0" w:type="auto"/>
            <w:shd w:val="clear" w:color="auto" w:fill="auto"/>
            <w:tcMar>
              <w:top w:w="40" w:type="dxa"/>
              <w:left w:w="40" w:type="dxa"/>
              <w:bottom w:w="40" w:type="dxa"/>
              <w:right w:w="40" w:type="dxa"/>
            </w:tcMar>
          </w:tcPr>
          <w:p w14:paraId="3750F5CE" w14:textId="77777777" w:rsidR="002541AD" w:rsidRDefault="00901AA6">
            <w:pPr>
              <w:ind w:hanging="240"/>
              <w:textAlignment w:val="top"/>
              <w:rPr>
                <w:rFonts w:ascii="Times New Roman" w:hAnsi="Times New Roman"/>
                <w:sz w:val="18"/>
                <w:szCs w:val="18"/>
              </w:rPr>
            </w:pPr>
            <w:r>
              <w:rPr>
                <w:rFonts w:ascii="Arial" w:eastAsia="宋体" w:hAnsi="Arial" w:cs="Arial"/>
                <w:color w:val="333333"/>
                <w:sz w:val="18"/>
                <w:szCs w:val="18"/>
              </w:rPr>
              <w:t xml:space="preserve">February 23, </w:t>
            </w:r>
            <w:r>
              <w:rPr>
                <w:rFonts w:ascii="Arial" w:eastAsia="宋体" w:hAnsi="Arial" w:cs="Arial"/>
                <w:color w:val="333333"/>
                <w:sz w:val="18"/>
                <w:szCs w:val="18"/>
              </w:rPr>
              <w:t>2020 - March 28, 2020</w:t>
            </w:r>
          </w:p>
        </w:tc>
        <w:tc>
          <w:tcPr>
            <w:tcW w:w="0" w:type="auto"/>
            <w:shd w:val="clear" w:color="auto" w:fill="auto"/>
            <w:tcMar>
              <w:top w:w="40" w:type="dxa"/>
              <w:left w:w="40" w:type="dxa"/>
              <w:bottom w:w="40" w:type="dxa"/>
              <w:right w:w="40" w:type="dxa"/>
            </w:tcMar>
            <w:vAlign w:val="bottom"/>
          </w:tcPr>
          <w:p w14:paraId="3750F5C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5D0"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36.2</w:t>
            </w:r>
          </w:p>
        </w:tc>
        <w:tc>
          <w:tcPr>
            <w:tcW w:w="0" w:type="auto"/>
            <w:shd w:val="clear" w:color="auto" w:fill="auto"/>
            <w:vAlign w:val="bottom"/>
          </w:tcPr>
          <w:p w14:paraId="3750F5D1"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5D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5D3" w14:textId="77777777" w:rsidR="002541AD" w:rsidRDefault="00901AA6">
            <w:pPr>
              <w:textAlignment w:val="bottom"/>
              <w:rPr>
                <w:rFonts w:ascii="Times New Roman" w:hAnsi="Times New Roman"/>
                <w:sz w:val="18"/>
                <w:szCs w:val="18"/>
              </w:rPr>
            </w:pPr>
            <w:r>
              <w:rPr>
                <w:rFonts w:ascii="Arial" w:eastAsia="宋体" w:hAnsi="Arial" w:cs="Arial"/>
                <w:color w:val="0071C5"/>
                <w:sz w:val="18"/>
                <w:szCs w:val="18"/>
              </w:rPr>
              <w:t>$</w:t>
            </w:r>
          </w:p>
        </w:tc>
        <w:tc>
          <w:tcPr>
            <w:tcW w:w="0" w:type="auto"/>
            <w:shd w:val="clear" w:color="auto" w:fill="auto"/>
            <w:tcMar>
              <w:top w:w="40" w:type="dxa"/>
              <w:bottom w:w="40" w:type="dxa"/>
            </w:tcMar>
            <w:vAlign w:val="bottom"/>
          </w:tcPr>
          <w:p w14:paraId="3750F5D4" w14:textId="77777777" w:rsidR="002541AD" w:rsidRDefault="00901AA6">
            <w:pPr>
              <w:jc w:val="right"/>
              <w:textAlignment w:val="bottom"/>
              <w:rPr>
                <w:rFonts w:ascii="Times New Roman" w:hAnsi="Times New Roman"/>
                <w:sz w:val="18"/>
                <w:szCs w:val="18"/>
              </w:rPr>
            </w:pPr>
            <w:r>
              <w:rPr>
                <w:rFonts w:ascii="Arial" w:eastAsia="宋体" w:hAnsi="Arial" w:cs="Arial"/>
                <w:color w:val="0071C5"/>
                <w:sz w:val="18"/>
                <w:szCs w:val="18"/>
              </w:rPr>
              <w:t>52.11</w:t>
            </w:r>
          </w:p>
        </w:tc>
        <w:tc>
          <w:tcPr>
            <w:tcW w:w="0" w:type="auto"/>
            <w:shd w:val="clear" w:color="auto" w:fill="auto"/>
            <w:vAlign w:val="bottom"/>
          </w:tcPr>
          <w:p w14:paraId="3750F5D5"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5D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3750F5D7"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w:t>
            </w:r>
          </w:p>
        </w:tc>
        <w:tc>
          <w:tcPr>
            <w:tcW w:w="0" w:type="auto"/>
            <w:shd w:val="clear" w:color="auto" w:fill="auto"/>
            <w:tcMar>
              <w:top w:w="40" w:type="dxa"/>
              <w:bottom w:w="40" w:type="dxa"/>
            </w:tcMar>
            <w:vAlign w:val="bottom"/>
          </w:tcPr>
          <w:p w14:paraId="3750F5D8"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19,658</w:t>
            </w:r>
          </w:p>
        </w:tc>
        <w:tc>
          <w:tcPr>
            <w:tcW w:w="0" w:type="auto"/>
            <w:shd w:val="clear" w:color="auto" w:fill="auto"/>
            <w:vAlign w:val="bottom"/>
          </w:tcPr>
          <w:p w14:paraId="3750F5D9" w14:textId="77777777" w:rsidR="002541AD" w:rsidRDefault="002541AD">
            <w:pPr>
              <w:textAlignment w:val="bottom"/>
              <w:rPr>
                <w:rFonts w:ascii="Times New Roman" w:hAnsi="Times New Roman"/>
                <w:sz w:val="20"/>
                <w:szCs w:val="20"/>
              </w:rPr>
            </w:pPr>
          </w:p>
        </w:tc>
      </w:tr>
      <w:tr w:rsidR="002541AD" w14:paraId="3750F5E3" w14:textId="77777777">
        <w:tc>
          <w:tcPr>
            <w:tcW w:w="0" w:type="auto"/>
            <w:shd w:val="clear" w:color="auto" w:fill="auto"/>
            <w:tcMar>
              <w:top w:w="40" w:type="dxa"/>
              <w:left w:w="40" w:type="dxa"/>
              <w:bottom w:w="40" w:type="dxa"/>
              <w:right w:w="40" w:type="dxa"/>
            </w:tcMar>
          </w:tcPr>
          <w:p w14:paraId="3750F5DB" w14:textId="77777777" w:rsidR="002541AD" w:rsidRDefault="00901AA6">
            <w:pPr>
              <w:ind w:hanging="240"/>
              <w:textAlignment w:val="top"/>
              <w:rPr>
                <w:rFonts w:ascii="Times New Roman" w:hAnsi="Times New Roman"/>
                <w:sz w:val="18"/>
                <w:szCs w:val="18"/>
              </w:rPr>
            </w:pPr>
            <w:r>
              <w:rPr>
                <w:rFonts w:ascii="Arial" w:eastAsia="宋体" w:hAnsi="Arial" w:cs="Arial"/>
                <w:b/>
                <w:bCs/>
                <w:color w:val="333333"/>
                <w:sz w:val="18"/>
                <w:szCs w:val="18"/>
              </w:rPr>
              <w:t>Total</w:t>
            </w:r>
          </w:p>
        </w:tc>
        <w:tc>
          <w:tcPr>
            <w:tcW w:w="0" w:type="auto"/>
            <w:shd w:val="clear" w:color="auto" w:fill="auto"/>
            <w:tcMar>
              <w:top w:w="40" w:type="dxa"/>
              <w:left w:w="40" w:type="dxa"/>
              <w:bottom w:w="40" w:type="dxa"/>
              <w:right w:w="40" w:type="dxa"/>
            </w:tcMar>
            <w:vAlign w:val="bottom"/>
          </w:tcPr>
          <w:p w14:paraId="3750F5D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333333"/>
              <w:bottom w:val="double" w:sz="6" w:space="0" w:color="333333"/>
            </w:tcBorders>
            <w:shd w:val="clear" w:color="auto" w:fill="auto"/>
            <w:tcMar>
              <w:top w:w="40" w:type="dxa"/>
              <w:left w:w="40" w:type="dxa"/>
              <w:bottom w:w="40" w:type="dxa"/>
            </w:tcMar>
            <w:vAlign w:val="bottom"/>
          </w:tcPr>
          <w:p w14:paraId="3750F5DD" w14:textId="77777777" w:rsidR="002541AD" w:rsidRDefault="00901AA6">
            <w:pPr>
              <w:jc w:val="right"/>
              <w:textAlignment w:val="bottom"/>
              <w:rPr>
                <w:rFonts w:ascii="Times New Roman" w:hAnsi="Times New Roman"/>
                <w:sz w:val="18"/>
                <w:szCs w:val="18"/>
              </w:rPr>
            </w:pPr>
            <w:r>
              <w:rPr>
                <w:rFonts w:ascii="Arial" w:eastAsia="宋体" w:hAnsi="Arial" w:cs="Arial"/>
                <w:b/>
                <w:bCs/>
                <w:color w:val="0071C5"/>
                <w:sz w:val="18"/>
                <w:szCs w:val="18"/>
              </w:rPr>
              <w:t>71.3</w:t>
            </w:r>
          </w:p>
        </w:tc>
        <w:tc>
          <w:tcPr>
            <w:tcW w:w="0" w:type="auto"/>
            <w:tcBorders>
              <w:top w:val="single" w:sz="8" w:space="0" w:color="333333"/>
              <w:bottom w:val="double" w:sz="6" w:space="0" w:color="333333"/>
            </w:tcBorders>
            <w:shd w:val="clear" w:color="auto" w:fill="auto"/>
            <w:vAlign w:val="bottom"/>
          </w:tcPr>
          <w:p w14:paraId="3750F5DE" w14:textId="77777777" w:rsidR="002541AD" w:rsidRDefault="002541A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3750F5D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F5E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5E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3750F5E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bl>
    <w:p w14:paraId="3750F5E4"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We issue RSUs as part of our equity incentive plans. In our Consolidated Condensed Financial Statements, we treat shares of common stock withheld for tax purposes on behalf of </w:t>
      </w:r>
      <w:r>
        <w:rPr>
          <w:rFonts w:ascii="Arial" w:eastAsia="宋体" w:hAnsi="Arial" w:cs="Arial"/>
          <w:color w:val="333333"/>
          <w:sz w:val="18"/>
          <w:szCs w:val="18"/>
        </w:rPr>
        <w:t xml:space="preserve">our employees in connection with the vesting of RSUs as common stock repurchases because they reduce the number of shares that would have been issued upon vesting. These withheld shares of common stock are not considered common stock repurchases under our </w:t>
      </w:r>
      <w:r>
        <w:rPr>
          <w:rFonts w:ascii="Arial" w:eastAsia="宋体" w:hAnsi="Arial" w:cs="Arial"/>
          <w:color w:val="333333"/>
          <w:sz w:val="18"/>
          <w:szCs w:val="18"/>
        </w:rPr>
        <w:t>authorized common stock repurchase program and accordingly are not included in the common stock repurchase totals in the preceding table.</w:t>
      </w:r>
    </w:p>
    <w:p w14:paraId="3750F5E5"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F5E7" w14:textId="77777777">
        <w:tc>
          <w:tcPr>
            <w:tcW w:w="0" w:type="auto"/>
            <w:gridSpan w:val="3"/>
            <w:shd w:val="clear" w:color="auto" w:fill="auto"/>
            <w:vAlign w:val="center"/>
          </w:tcPr>
          <w:p w14:paraId="3750F5E6" w14:textId="77777777" w:rsidR="002541AD" w:rsidRDefault="002541AD">
            <w:pPr>
              <w:rPr>
                <w:rFonts w:ascii="Times New Roman" w:hAnsi="Times New Roman"/>
                <w:sz w:val="20"/>
                <w:szCs w:val="20"/>
              </w:rPr>
            </w:pPr>
          </w:p>
        </w:tc>
      </w:tr>
      <w:tr w:rsidR="002541AD" w14:paraId="3750F5EB" w14:textId="77777777">
        <w:tc>
          <w:tcPr>
            <w:tcW w:w="1550" w:type="pct"/>
            <w:shd w:val="clear" w:color="auto" w:fill="auto"/>
            <w:vAlign w:val="center"/>
          </w:tcPr>
          <w:p w14:paraId="3750F5E8" w14:textId="77777777" w:rsidR="002541AD" w:rsidRDefault="002541AD">
            <w:pPr>
              <w:rPr>
                <w:rFonts w:ascii="Times New Roman" w:hAnsi="Times New Roman"/>
                <w:sz w:val="20"/>
                <w:szCs w:val="20"/>
              </w:rPr>
            </w:pPr>
          </w:p>
        </w:tc>
        <w:tc>
          <w:tcPr>
            <w:tcW w:w="2200" w:type="pct"/>
            <w:shd w:val="clear" w:color="auto" w:fill="auto"/>
            <w:vAlign w:val="center"/>
          </w:tcPr>
          <w:p w14:paraId="3750F5E9" w14:textId="77777777" w:rsidR="002541AD" w:rsidRDefault="002541AD">
            <w:pPr>
              <w:rPr>
                <w:rFonts w:ascii="Times New Roman" w:hAnsi="Times New Roman"/>
                <w:sz w:val="20"/>
                <w:szCs w:val="20"/>
              </w:rPr>
            </w:pPr>
          </w:p>
        </w:tc>
        <w:tc>
          <w:tcPr>
            <w:tcW w:w="1250" w:type="pct"/>
            <w:shd w:val="clear" w:color="auto" w:fill="auto"/>
            <w:vAlign w:val="center"/>
          </w:tcPr>
          <w:p w14:paraId="3750F5EA" w14:textId="77777777" w:rsidR="002541AD" w:rsidRDefault="002541AD">
            <w:pPr>
              <w:rPr>
                <w:rFonts w:ascii="Times New Roman" w:hAnsi="Times New Roman"/>
                <w:sz w:val="20"/>
                <w:szCs w:val="20"/>
              </w:rPr>
            </w:pPr>
          </w:p>
        </w:tc>
      </w:tr>
      <w:tr w:rsidR="002541AD" w14:paraId="3750F5EF"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F5EC"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E1" wp14:editId="3750F8E2">
                  <wp:extent cx="304800" cy="304800"/>
                  <wp:effectExtent l="0" t="0" r="0" b="0"/>
                  <wp:docPr id="87" name="图片 142"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42"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5E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5EE"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43</w:t>
            </w:r>
          </w:p>
        </w:tc>
      </w:tr>
    </w:tbl>
    <w:p w14:paraId="3750F5F0" w14:textId="77777777" w:rsidR="002541AD" w:rsidRDefault="002541AD">
      <w:pPr>
        <w:spacing w:line="288" w:lineRule="auto"/>
        <w:rPr>
          <w:rFonts w:ascii="Times New Roman" w:hAnsi="Times New Roman"/>
          <w:sz w:val="18"/>
          <w:szCs w:val="18"/>
        </w:rPr>
      </w:pPr>
    </w:p>
    <w:p w14:paraId="3750F5F1" w14:textId="77777777" w:rsidR="002541AD" w:rsidRDefault="00901AA6">
      <w:r>
        <w:rPr>
          <w:rFonts w:ascii="Times New Roman" w:hAnsi="Times New Roman"/>
          <w:sz w:val="18"/>
          <w:szCs w:val="18"/>
        </w:rPr>
        <w:pict w14:anchorId="3750F8E3">
          <v:rect id="_x0000_i1069" style="width:415.3pt;height:1.5pt" o:hralign="center" o:hrstd="t" o:hr="t" fillcolor="#a0a0a0" stroked="f"/>
        </w:pict>
      </w:r>
    </w:p>
    <w:p w14:paraId="3750F5F2" w14:textId="77777777" w:rsidR="002541AD" w:rsidRDefault="00901AA6">
      <w:pPr>
        <w:spacing w:line="288" w:lineRule="auto"/>
        <w:jc w:val="right"/>
        <w:rPr>
          <w:rFonts w:ascii="Times New Roman" w:hAnsi="Times New Roman"/>
          <w:sz w:val="16"/>
          <w:szCs w:val="16"/>
        </w:rPr>
      </w:pPr>
      <w:hyperlink r:id="rId72" w:anchor="s2CABEAF4222C52B4A34547BF538A8C27" w:history="1">
        <w:r>
          <w:rPr>
            <w:rStyle w:val="a5"/>
            <w:rFonts w:ascii="Arial" w:eastAsia="宋体" w:hAnsi="Arial" w:cs="Arial"/>
            <w:b/>
            <w:bCs/>
            <w:sz w:val="16"/>
            <w:szCs w:val="16"/>
          </w:rPr>
          <w:t>Table of Contents</w:t>
        </w:r>
      </w:hyperlink>
    </w:p>
    <w:p w14:paraId="3750F5F3" w14:textId="77777777" w:rsidR="002541AD" w:rsidRDefault="002541AD">
      <w:pPr>
        <w:spacing w:line="288" w:lineRule="auto"/>
        <w:jc w:val="right"/>
        <w:rPr>
          <w:rFonts w:ascii="Times New Roman" w:hAnsi="Times New Roman"/>
          <w:sz w:val="18"/>
          <w:szCs w:val="18"/>
        </w:rPr>
      </w:pPr>
    </w:p>
    <w:p w14:paraId="3750F5F4" w14:textId="77777777" w:rsidR="002541AD" w:rsidRDefault="002541AD">
      <w:pPr>
        <w:rPr>
          <w:rFonts w:ascii="Times New Roman" w:hAnsi="Times New Roman"/>
          <w:sz w:val="20"/>
          <w:szCs w:val="20"/>
        </w:rPr>
      </w:pPr>
    </w:p>
    <w:p w14:paraId="3750F5F5"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EXHIBITS</w:t>
      </w:r>
    </w:p>
    <w:tbl>
      <w:tblPr>
        <w:tblW w:w="5000" w:type="pct"/>
        <w:tblCellMar>
          <w:left w:w="0" w:type="dxa"/>
          <w:right w:w="0" w:type="dxa"/>
        </w:tblCellMar>
        <w:tblLook w:val="04A0" w:firstRow="1" w:lastRow="0" w:firstColumn="1" w:lastColumn="0" w:noHBand="0" w:noVBand="1"/>
      </w:tblPr>
      <w:tblGrid>
        <w:gridCol w:w="811"/>
        <w:gridCol w:w="130"/>
        <w:gridCol w:w="2731"/>
        <w:gridCol w:w="130"/>
        <w:gridCol w:w="530"/>
        <w:gridCol w:w="130"/>
        <w:gridCol w:w="941"/>
        <w:gridCol w:w="130"/>
        <w:gridCol w:w="681"/>
        <w:gridCol w:w="130"/>
        <w:gridCol w:w="881"/>
        <w:gridCol w:w="130"/>
        <w:gridCol w:w="951"/>
      </w:tblGrid>
      <w:tr w:rsidR="002541AD" w14:paraId="3750F5F7" w14:textId="77777777">
        <w:tc>
          <w:tcPr>
            <w:tcW w:w="0" w:type="auto"/>
            <w:gridSpan w:val="13"/>
            <w:shd w:val="clear" w:color="auto" w:fill="auto"/>
            <w:vAlign w:val="center"/>
          </w:tcPr>
          <w:p w14:paraId="3750F5F6" w14:textId="77777777" w:rsidR="002541AD" w:rsidRDefault="002541AD">
            <w:pPr>
              <w:rPr>
                <w:rFonts w:ascii="Times New Roman" w:hAnsi="Times New Roman"/>
                <w:sz w:val="20"/>
                <w:szCs w:val="20"/>
              </w:rPr>
            </w:pPr>
          </w:p>
        </w:tc>
      </w:tr>
      <w:tr w:rsidR="002541AD" w14:paraId="3750F605" w14:textId="77777777">
        <w:tc>
          <w:tcPr>
            <w:tcW w:w="450" w:type="pct"/>
            <w:shd w:val="clear" w:color="auto" w:fill="auto"/>
            <w:vAlign w:val="center"/>
          </w:tcPr>
          <w:p w14:paraId="3750F5F8" w14:textId="77777777" w:rsidR="002541AD" w:rsidRDefault="002541AD">
            <w:pPr>
              <w:rPr>
                <w:rFonts w:ascii="Times New Roman" w:hAnsi="Times New Roman"/>
                <w:sz w:val="20"/>
                <w:szCs w:val="20"/>
              </w:rPr>
            </w:pPr>
          </w:p>
        </w:tc>
        <w:tc>
          <w:tcPr>
            <w:tcW w:w="50" w:type="pct"/>
            <w:shd w:val="clear" w:color="auto" w:fill="auto"/>
            <w:vAlign w:val="center"/>
          </w:tcPr>
          <w:p w14:paraId="3750F5F9" w14:textId="77777777" w:rsidR="002541AD" w:rsidRDefault="002541AD">
            <w:pPr>
              <w:rPr>
                <w:rFonts w:ascii="Times New Roman" w:hAnsi="Times New Roman"/>
                <w:sz w:val="20"/>
                <w:szCs w:val="20"/>
              </w:rPr>
            </w:pPr>
          </w:p>
        </w:tc>
        <w:tc>
          <w:tcPr>
            <w:tcW w:w="2200" w:type="pct"/>
            <w:shd w:val="clear" w:color="auto" w:fill="auto"/>
            <w:vAlign w:val="center"/>
          </w:tcPr>
          <w:p w14:paraId="3750F5FA" w14:textId="77777777" w:rsidR="002541AD" w:rsidRDefault="002541AD">
            <w:pPr>
              <w:rPr>
                <w:rFonts w:ascii="Times New Roman" w:hAnsi="Times New Roman"/>
                <w:sz w:val="20"/>
                <w:szCs w:val="20"/>
              </w:rPr>
            </w:pPr>
          </w:p>
        </w:tc>
        <w:tc>
          <w:tcPr>
            <w:tcW w:w="50" w:type="pct"/>
            <w:shd w:val="clear" w:color="auto" w:fill="auto"/>
            <w:vAlign w:val="center"/>
          </w:tcPr>
          <w:p w14:paraId="3750F5FB" w14:textId="77777777" w:rsidR="002541AD" w:rsidRDefault="002541AD">
            <w:pPr>
              <w:rPr>
                <w:rFonts w:ascii="Times New Roman" w:hAnsi="Times New Roman"/>
                <w:sz w:val="20"/>
                <w:szCs w:val="20"/>
              </w:rPr>
            </w:pPr>
          </w:p>
        </w:tc>
        <w:tc>
          <w:tcPr>
            <w:tcW w:w="250" w:type="pct"/>
            <w:shd w:val="clear" w:color="auto" w:fill="auto"/>
            <w:vAlign w:val="center"/>
          </w:tcPr>
          <w:p w14:paraId="3750F5FC" w14:textId="77777777" w:rsidR="002541AD" w:rsidRDefault="002541AD">
            <w:pPr>
              <w:rPr>
                <w:rFonts w:ascii="Times New Roman" w:hAnsi="Times New Roman"/>
                <w:sz w:val="20"/>
                <w:szCs w:val="20"/>
              </w:rPr>
            </w:pPr>
          </w:p>
        </w:tc>
        <w:tc>
          <w:tcPr>
            <w:tcW w:w="50" w:type="pct"/>
            <w:shd w:val="clear" w:color="auto" w:fill="auto"/>
            <w:vAlign w:val="center"/>
          </w:tcPr>
          <w:p w14:paraId="3750F5FD" w14:textId="77777777" w:rsidR="002541AD" w:rsidRDefault="002541AD">
            <w:pPr>
              <w:rPr>
                <w:rFonts w:ascii="Times New Roman" w:hAnsi="Times New Roman"/>
                <w:sz w:val="20"/>
                <w:szCs w:val="20"/>
              </w:rPr>
            </w:pPr>
          </w:p>
        </w:tc>
        <w:tc>
          <w:tcPr>
            <w:tcW w:w="500" w:type="pct"/>
            <w:shd w:val="clear" w:color="auto" w:fill="auto"/>
            <w:vAlign w:val="center"/>
          </w:tcPr>
          <w:p w14:paraId="3750F5FE" w14:textId="77777777" w:rsidR="002541AD" w:rsidRDefault="002541AD">
            <w:pPr>
              <w:rPr>
                <w:rFonts w:ascii="Times New Roman" w:hAnsi="Times New Roman"/>
                <w:sz w:val="20"/>
                <w:szCs w:val="20"/>
              </w:rPr>
            </w:pPr>
          </w:p>
        </w:tc>
        <w:tc>
          <w:tcPr>
            <w:tcW w:w="50" w:type="pct"/>
            <w:shd w:val="clear" w:color="auto" w:fill="auto"/>
            <w:vAlign w:val="center"/>
          </w:tcPr>
          <w:p w14:paraId="3750F5FF" w14:textId="77777777" w:rsidR="002541AD" w:rsidRDefault="002541AD">
            <w:pPr>
              <w:rPr>
                <w:rFonts w:ascii="Times New Roman" w:hAnsi="Times New Roman"/>
                <w:sz w:val="20"/>
                <w:szCs w:val="20"/>
              </w:rPr>
            </w:pPr>
          </w:p>
        </w:tc>
        <w:tc>
          <w:tcPr>
            <w:tcW w:w="350" w:type="pct"/>
            <w:shd w:val="clear" w:color="auto" w:fill="auto"/>
            <w:vAlign w:val="center"/>
          </w:tcPr>
          <w:p w14:paraId="3750F600" w14:textId="77777777" w:rsidR="002541AD" w:rsidRDefault="002541AD">
            <w:pPr>
              <w:rPr>
                <w:rFonts w:ascii="Times New Roman" w:hAnsi="Times New Roman"/>
                <w:sz w:val="20"/>
                <w:szCs w:val="20"/>
              </w:rPr>
            </w:pPr>
          </w:p>
        </w:tc>
        <w:tc>
          <w:tcPr>
            <w:tcW w:w="50" w:type="pct"/>
            <w:shd w:val="clear" w:color="auto" w:fill="auto"/>
            <w:vAlign w:val="center"/>
          </w:tcPr>
          <w:p w14:paraId="3750F601" w14:textId="77777777" w:rsidR="002541AD" w:rsidRDefault="002541AD">
            <w:pPr>
              <w:rPr>
                <w:rFonts w:ascii="Times New Roman" w:hAnsi="Times New Roman"/>
                <w:sz w:val="20"/>
                <w:szCs w:val="20"/>
              </w:rPr>
            </w:pPr>
          </w:p>
        </w:tc>
        <w:tc>
          <w:tcPr>
            <w:tcW w:w="500" w:type="pct"/>
            <w:shd w:val="clear" w:color="auto" w:fill="auto"/>
            <w:vAlign w:val="center"/>
          </w:tcPr>
          <w:p w14:paraId="3750F602" w14:textId="77777777" w:rsidR="002541AD" w:rsidRDefault="002541AD">
            <w:pPr>
              <w:rPr>
                <w:rFonts w:ascii="Times New Roman" w:hAnsi="Times New Roman"/>
                <w:sz w:val="20"/>
                <w:szCs w:val="20"/>
              </w:rPr>
            </w:pPr>
          </w:p>
        </w:tc>
        <w:tc>
          <w:tcPr>
            <w:tcW w:w="50" w:type="pct"/>
            <w:shd w:val="clear" w:color="auto" w:fill="auto"/>
            <w:vAlign w:val="center"/>
          </w:tcPr>
          <w:p w14:paraId="3750F603" w14:textId="77777777" w:rsidR="002541AD" w:rsidRDefault="002541AD">
            <w:pPr>
              <w:rPr>
                <w:rFonts w:ascii="Times New Roman" w:hAnsi="Times New Roman"/>
                <w:sz w:val="20"/>
                <w:szCs w:val="20"/>
              </w:rPr>
            </w:pPr>
          </w:p>
        </w:tc>
        <w:tc>
          <w:tcPr>
            <w:tcW w:w="450" w:type="pct"/>
            <w:shd w:val="clear" w:color="auto" w:fill="auto"/>
            <w:vAlign w:val="center"/>
          </w:tcPr>
          <w:p w14:paraId="3750F604" w14:textId="77777777" w:rsidR="002541AD" w:rsidRDefault="002541AD">
            <w:pPr>
              <w:rPr>
                <w:rFonts w:ascii="Times New Roman" w:hAnsi="Times New Roman"/>
                <w:sz w:val="20"/>
                <w:szCs w:val="20"/>
              </w:rPr>
            </w:pPr>
          </w:p>
        </w:tc>
      </w:tr>
      <w:tr w:rsidR="002541AD" w14:paraId="3750F60D" w14:textId="77777777">
        <w:tc>
          <w:tcPr>
            <w:tcW w:w="0" w:type="auto"/>
            <w:shd w:val="clear" w:color="auto" w:fill="auto"/>
            <w:tcMar>
              <w:top w:w="40" w:type="dxa"/>
              <w:left w:w="40" w:type="dxa"/>
              <w:bottom w:w="40" w:type="dxa"/>
              <w:right w:w="40" w:type="dxa"/>
            </w:tcMar>
            <w:vAlign w:val="bottom"/>
          </w:tcPr>
          <w:p w14:paraId="3750F606"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w:t>
            </w:r>
          </w:p>
        </w:tc>
        <w:tc>
          <w:tcPr>
            <w:tcW w:w="0" w:type="auto"/>
            <w:shd w:val="clear" w:color="auto" w:fill="auto"/>
            <w:tcMar>
              <w:top w:w="40" w:type="dxa"/>
              <w:left w:w="40" w:type="dxa"/>
              <w:bottom w:w="40" w:type="dxa"/>
              <w:right w:w="40" w:type="dxa"/>
            </w:tcMar>
            <w:vAlign w:val="bottom"/>
          </w:tcPr>
          <w:p w14:paraId="3750F60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08"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w:t>
            </w:r>
          </w:p>
        </w:tc>
        <w:tc>
          <w:tcPr>
            <w:tcW w:w="0" w:type="auto"/>
            <w:shd w:val="clear" w:color="auto" w:fill="auto"/>
            <w:tcMar>
              <w:top w:w="40" w:type="dxa"/>
              <w:left w:w="40" w:type="dxa"/>
              <w:bottom w:w="40" w:type="dxa"/>
              <w:right w:w="40" w:type="dxa"/>
            </w:tcMar>
            <w:vAlign w:val="bottom"/>
          </w:tcPr>
          <w:p w14:paraId="3750F60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71C5"/>
            </w:tcBorders>
            <w:shd w:val="clear" w:color="auto" w:fill="auto"/>
            <w:tcMar>
              <w:top w:w="40" w:type="dxa"/>
              <w:left w:w="40" w:type="dxa"/>
              <w:bottom w:w="40" w:type="dxa"/>
              <w:right w:w="40" w:type="dxa"/>
            </w:tcMar>
            <w:vAlign w:val="bottom"/>
          </w:tcPr>
          <w:p w14:paraId="3750F60A"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Incorporated by Reference</w:t>
            </w:r>
          </w:p>
        </w:tc>
        <w:tc>
          <w:tcPr>
            <w:tcW w:w="0" w:type="auto"/>
            <w:shd w:val="clear" w:color="auto" w:fill="auto"/>
            <w:tcMar>
              <w:top w:w="40" w:type="dxa"/>
              <w:left w:w="40" w:type="dxa"/>
              <w:bottom w:w="40" w:type="dxa"/>
              <w:right w:w="40" w:type="dxa"/>
            </w:tcMar>
            <w:vAlign w:val="bottom"/>
          </w:tcPr>
          <w:p w14:paraId="3750F60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0C"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w:t>
            </w:r>
          </w:p>
        </w:tc>
      </w:tr>
      <w:tr w:rsidR="002541AD" w14:paraId="3750F61F"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F60E"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Exhibit</w:t>
            </w:r>
          </w:p>
          <w:p w14:paraId="3750F60F"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Number</w:t>
            </w:r>
          </w:p>
        </w:tc>
        <w:tc>
          <w:tcPr>
            <w:tcW w:w="0" w:type="auto"/>
            <w:shd w:val="clear" w:color="auto" w:fill="auto"/>
            <w:tcMar>
              <w:top w:w="40" w:type="dxa"/>
              <w:left w:w="40" w:type="dxa"/>
              <w:bottom w:w="40" w:type="dxa"/>
              <w:right w:w="40" w:type="dxa"/>
            </w:tcMar>
            <w:vAlign w:val="bottom"/>
          </w:tcPr>
          <w:p w14:paraId="3750F61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F611"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Exhibit Description</w:t>
            </w:r>
          </w:p>
        </w:tc>
        <w:tc>
          <w:tcPr>
            <w:tcW w:w="0" w:type="auto"/>
            <w:shd w:val="clear" w:color="auto" w:fill="auto"/>
            <w:tcMar>
              <w:top w:w="40" w:type="dxa"/>
              <w:left w:w="40" w:type="dxa"/>
              <w:bottom w:w="40" w:type="dxa"/>
              <w:right w:w="40" w:type="dxa"/>
            </w:tcMar>
            <w:vAlign w:val="bottom"/>
          </w:tcPr>
          <w:p w14:paraId="3750F61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F613"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Form</w:t>
            </w:r>
          </w:p>
        </w:tc>
        <w:tc>
          <w:tcPr>
            <w:tcW w:w="0" w:type="auto"/>
            <w:shd w:val="clear" w:color="auto" w:fill="auto"/>
            <w:tcMar>
              <w:top w:w="40" w:type="dxa"/>
              <w:left w:w="40" w:type="dxa"/>
              <w:bottom w:w="40" w:type="dxa"/>
              <w:right w:w="40" w:type="dxa"/>
            </w:tcMar>
            <w:vAlign w:val="bottom"/>
          </w:tcPr>
          <w:p w14:paraId="3750F61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F615"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File Number</w:t>
            </w:r>
          </w:p>
        </w:tc>
        <w:tc>
          <w:tcPr>
            <w:tcW w:w="0" w:type="auto"/>
            <w:shd w:val="clear" w:color="auto" w:fill="auto"/>
            <w:tcMar>
              <w:top w:w="40" w:type="dxa"/>
              <w:left w:w="40" w:type="dxa"/>
              <w:bottom w:w="40" w:type="dxa"/>
              <w:right w:w="40" w:type="dxa"/>
            </w:tcMar>
            <w:vAlign w:val="bottom"/>
          </w:tcPr>
          <w:p w14:paraId="3750F61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F617"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Exhibit</w:t>
            </w:r>
          </w:p>
        </w:tc>
        <w:tc>
          <w:tcPr>
            <w:tcW w:w="0" w:type="auto"/>
            <w:shd w:val="clear" w:color="auto" w:fill="auto"/>
            <w:tcMar>
              <w:top w:w="40" w:type="dxa"/>
              <w:left w:w="40" w:type="dxa"/>
              <w:bottom w:w="40" w:type="dxa"/>
              <w:right w:w="40" w:type="dxa"/>
            </w:tcMar>
            <w:vAlign w:val="bottom"/>
          </w:tcPr>
          <w:p w14:paraId="3750F61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F619"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Filing</w:t>
            </w:r>
          </w:p>
          <w:p w14:paraId="3750F61A"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Date</w:t>
            </w:r>
          </w:p>
        </w:tc>
        <w:tc>
          <w:tcPr>
            <w:tcW w:w="0" w:type="auto"/>
            <w:shd w:val="clear" w:color="auto" w:fill="auto"/>
            <w:tcMar>
              <w:top w:w="40" w:type="dxa"/>
              <w:left w:w="40" w:type="dxa"/>
              <w:bottom w:w="40" w:type="dxa"/>
              <w:right w:w="40" w:type="dxa"/>
            </w:tcMar>
            <w:vAlign w:val="bottom"/>
          </w:tcPr>
          <w:p w14:paraId="3750F61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F61C"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Filed or</w:t>
            </w:r>
          </w:p>
          <w:p w14:paraId="3750F61D"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Furnished</w:t>
            </w:r>
          </w:p>
          <w:p w14:paraId="3750F61E" w14:textId="77777777" w:rsidR="002541AD" w:rsidRDefault="00901AA6">
            <w:pPr>
              <w:jc w:val="center"/>
              <w:textAlignment w:val="bottom"/>
              <w:rPr>
                <w:rFonts w:ascii="Times New Roman" w:hAnsi="Times New Roman"/>
                <w:sz w:val="18"/>
                <w:szCs w:val="18"/>
              </w:rPr>
            </w:pPr>
            <w:r>
              <w:rPr>
                <w:rFonts w:ascii="Arial" w:eastAsia="宋体" w:hAnsi="Arial" w:cs="Arial"/>
                <w:b/>
                <w:bCs/>
                <w:color w:val="333333"/>
                <w:sz w:val="18"/>
                <w:szCs w:val="18"/>
              </w:rPr>
              <w:t>Herewith</w:t>
            </w:r>
          </w:p>
        </w:tc>
      </w:tr>
      <w:tr w:rsidR="002541AD" w14:paraId="3750F62D" w14:textId="77777777">
        <w:tc>
          <w:tcPr>
            <w:tcW w:w="0" w:type="auto"/>
            <w:shd w:val="clear" w:color="auto" w:fill="auto"/>
            <w:tcMar>
              <w:top w:w="40" w:type="dxa"/>
              <w:left w:w="40" w:type="dxa"/>
              <w:bottom w:w="40" w:type="dxa"/>
              <w:right w:w="40" w:type="dxa"/>
            </w:tcMar>
          </w:tcPr>
          <w:p w14:paraId="3750F620"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3.1</w:t>
            </w:r>
          </w:p>
        </w:tc>
        <w:tc>
          <w:tcPr>
            <w:tcW w:w="0" w:type="auto"/>
            <w:shd w:val="clear" w:color="auto" w:fill="auto"/>
            <w:tcMar>
              <w:top w:w="40" w:type="dxa"/>
              <w:left w:w="40" w:type="dxa"/>
              <w:bottom w:w="40" w:type="dxa"/>
              <w:right w:w="40" w:type="dxa"/>
            </w:tcMar>
            <w:vAlign w:val="bottom"/>
          </w:tcPr>
          <w:p w14:paraId="3750F62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22" w14:textId="77777777" w:rsidR="002541AD" w:rsidRDefault="00901AA6">
            <w:pPr>
              <w:textAlignment w:val="top"/>
              <w:rPr>
                <w:rFonts w:ascii="Times New Roman" w:hAnsi="Times New Roman"/>
                <w:sz w:val="18"/>
                <w:szCs w:val="18"/>
              </w:rPr>
            </w:pPr>
            <w:hyperlink r:id="rId73" w:history="1">
              <w:r>
                <w:rPr>
                  <w:rStyle w:val="a5"/>
                  <w:rFonts w:ascii="Arial" w:eastAsia="宋体" w:hAnsi="Arial" w:cs="Arial"/>
                  <w:sz w:val="18"/>
                  <w:szCs w:val="18"/>
                </w:rPr>
                <w:t>Third Restated Certificate of Incorporation of Intel Corporation, dated May 17, 2006</w:t>
              </w:r>
            </w:hyperlink>
          </w:p>
        </w:tc>
        <w:tc>
          <w:tcPr>
            <w:tcW w:w="0" w:type="auto"/>
            <w:shd w:val="clear" w:color="auto" w:fill="auto"/>
            <w:tcMar>
              <w:top w:w="40" w:type="dxa"/>
              <w:left w:w="40" w:type="dxa"/>
              <w:bottom w:w="40" w:type="dxa"/>
              <w:right w:w="40" w:type="dxa"/>
            </w:tcMar>
            <w:vAlign w:val="bottom"/>
          </w:tcPr>
          <w:p w14:paraId="3750F62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24"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3750F62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26"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3750F62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28"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3.1</w:t>
            </w:r>
          </w:p>
        </w:tc>
        <w:tc>
          <w:tcPr>
            <w:tcW w:w="0" w:type="auto"/>
            <w:shd w:val="clear" w:color="auto" w:fill="auto"/>
            <w:tcMar>
              <w:top w:w="40" w:type="dxa"/>
              <w:left w:w="40" w:type="dxa"/>
              <w:bottom w:w="40" w:type="dxa"/>
              <w:right w:w="40" w:type="dxa"/>
            </w:tcMar>
            <w:vAlign w:val="bottom"/>
          </w:tcPr>
          <w:p w14:paraId="3750F62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2A"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5/22/2006</w:t>
            </w:r>
          </w:p>
        </w:tc>
        <w:tc>
          <w:tcPr>
            <w:tcW w:w="0" w:type="auto"/>
            <w:shd w:val="clear" w:color="auto" w:fill="auto"/>
            <w:tcMar>
              <w:top w:w="40" w:type="dxa"/>
              <w:left w:w="40" w:type="dxa"/>
              <w:bottom w:w="40" w:type="dxa"/>
              <w:right w:w="40" w:type="dxa"/>
            </w:tcMar>
            <w:vAlign w:val="bottom"/>
          </w:tcPr>
          <w:p w14:paraId="3750F62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2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63B" w14:textId="77777777">
        <w:tc>
          <w:tcPr>
            <w:tcW w:w="0" w:type="auto"/>
            <w:shd w:val="clear" w:color="auto" w:fill="auto"/>
            <w:tcMar>
              <w:top w:w="40" w:type="dxa"/>
              <w:left w:w="40" w:type="dxa"/>
              <w:bottom w:w="40" w:type="dxa"/>
              <w:right w:w="40" w:type="dxa"/>
            </w:tcMar>
          </w:tcPr>
          <w:p w14:paraId="3750F62E"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3.2</w:t>
            </w:r>
          </w:p>
        </w:tc>
        <w:tc>
          <w:tcPr>
            <w:tcW w:w="0" w:type="auto"/>
            <w:shd w:val="clear" w:color="auto" w:fill="auto"/>
            <w:tcMar>
              <w:top w:w="40" w:type="dxa"/>
              <w:left w:w="40" w:type="dxa"/>
              <w:bottom w:w="40" w:type="dxa"/>
              <w:right w:w="40" w:type="dxa"/>
            </w:tcMar>
            <w:vAlign w:val="bottom"/>
          </w:tcPr>
          <w:p w14:paraId="3750F62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30" w14:textId="77777777" w:rsidR="002541AD" w:rsidRDefault="00901AA6">
            <w:pPr>
              <w:textAlignment w:val="top"/>
              <w:rPr>
                <w:rFonts w:ascii="Times New Roman" w:hAnsi="Times New Roman"/>
                <w:sz w:val="18"/>
                <w:szCs w:val="18"/>
              </w:rPr>
            </w:pPr>
            <w:hyperlink r:id="rId74" w:history="1">
              <w:r>
                <w:rPr>
                  <w:rStyle w:val="a5"/>
                  <w:rFonts w:ascii="Arial" w:eastAsia="宋体" w:hAnsi="Arial" w:cs="Arial"/>
                  <w:sz w:val="18"/>
                  <w:szCs w:val="18"/>
                </w:rPr>
                <w:t>Intel Corporation Bylaws, as amended and restated on January 16, 2019</w:t>
              </w:r>
            </w:hyperlink>
          </w:p>
        </w:tc>
        <w:tc>
          <w:tcPr>
            <w:tcW w:w="0" w:type="auto"/>
            <w:shd w:val="clear" w:color="auto" w:fill="auto"/>
            <w:tcMar>
              <w:top w:w="40" w:type="dxa"/>
              <w:left w:w="40" w:type="dxa"/>
              <w:bottom w:w="40" w:type="dxa"/>
              <w:right w:w="40" w:type="dxa"/>
            </w:tcMar>
            <w:vAlign w:val="bottom"/>
          </w:tcPr>
          <w:p w14:paraId="3750F63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32"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3750F63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34"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3750F63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36"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3.2</w:t>
            </w:r>
          </w:p>
        </w:tc>
        <w:tc>
          <w:tcPr>
            <w:tcW w:w="0" w:type="auto"/>
            <w:shd w:val="clear" w:color="auto" w:fill="auto"/>
            <w:tcMar>
              <w:top w:w="40" w:type="dxa"/>
              <w:left w:w="40" w:type="dxa"/>
              <w:bottom w:w="40" w:type="dxa"/>
              <w:right w:w="40" w:type="dxa"/>
            </w:tcMar>
            <w:vAlign w:val="bottom"/>
          </w:tcPr>
          <w:p w14:paraId="3750F63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38"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1/17/2019</w:t>
            </w:r>
          </w:p>
        </w:tc>
        <w:tc>
          <w:tcPr>
            <w:tcW w:w="0" w:type="auto"/>
            <w:shd w:val="clear" w:color="auto" w:fill="auto"/>
            <w:tcMar>
              <w:top w:w="40" w:type="dxa"/>
              <w:left w:w="40" w:type="dxa"/>
              <w:bottom w:w="40" w:type="dxa"/>
              <w:right w:w="40" w:type="dxa"/>
            </w:tcMar>
            <w:vAlign w:val="bottom"/>
          </w:tcPr>
          <w:p w14:paraId="3750F63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3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649" w14:textId="77777777">
        <w:tc>
          <w:tcPr>
            <w:tcW w:w="0" w:type="auto"/>
            <w:shd w:val="clear" w:color="auto" w:fill="auto"/>
            <w:tcMar>
              <w:top w:w="40" w:type="dxa"/>
              <w:left w:w="40" w:type="dxa"/>
              <w:bottom w:w="40" w:type="dxa"/>
              <w:right w:w="40" w:type="dxa"/>
            </w:tcMar>
          </w:tcPr>
          <w:p w14:paraId="3750F63C"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4.1</w:t>
            </w:r>
          </w:p>
        </w:tc>
        <w:tc>
          <w:tcPr>
            <w:tcW w:w="0" w:type="auto"/>
            <w:shd w:val="clear" w:color="auto" w:fill="auto"/>
            <w:tcMar>
              <w:top w:w="40" w:type="dxa"/>
              <w:left w:w="40" w:type="dxa"/>
              <w:bottom w:w="40" w:type="dxa"/>
              <w:right w:w="40" w:type="dxa"/>
            </w:tcMar>
            <w:vAlign w:val="bottom"/>
          </w:tcPr>
          <w:p w14:paraId="3750F63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3E" w14:textId="77777777" w:rsidR="002541AD" w:rsidRDefault="00901AA6">
            <w:pPr>
              <w:textAlignment w:val="top"/>
              <w:rPr>
                <w:rFonts w:ascii="Times New Roman" w:hAnsi="Times New Roman"/>
                <w:sz w:val="18"/>
                <w:szCs w:val="18"/>
              </w:rPr>
            </w:pPr>
            <w:hyperlink r:id="rId75" w:history="1">
              <w:r>
                <w:rPr>
                  <w:rStyle w:val="a5"/>
                  <w:rFonts w:ascii="Arial" w:eastAsia="宋体" w:hAnsi="Arial" w:cs="Arial"/>
                  <w:sz w:val="18"/>
                  <w:szCs w:val="18"/>
                </w:rPr>
                <w:t>Fourteenth Supplemental Indenture, dated as of February 13, 2020, between Intel Corporation and Wells Fargo Bank, National Association, as successor trustee</w:t>
              </w:r>
            </w:hyperlink>
          </w:p>
        </w:tc>
        <w:tc>
          <w:tcPr>
            <w:tcW w:w="0" w:type="auto"/>
            <w:shd w:val="clear" w:color="auto" w:fill="auto"/>
            <w:tcMar>
              <w:top w:w="40" w:type="dxa"/>
              <w:left w:w="40" w:type="dxa"/>
              <w:bottom w:w="40" w:type="dxa"/>
              <w:right w:w="40" w:type="dxa"/>
            </w:tcMar>
            <w:vAlign w:val="bottom"/>
          </w:tcPr>
          <w:p w14:paraId="3750F63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40"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3750F64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42"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3750F64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44"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4.1</w:t>
            </w:r>
          </w:p>
        </w:tc>
        <w:tc>
          <w:tcPr>
            <w:tcW w:w="0" w:type="auto"/>
            <w:shd w:val="clear" w:color="auto" w:fill="auto"/>
            <w:tcMar>
              <w:top w:w="40" w:type="dxa"/>
              <w:left w:w="40" w:type="dxa"/>
              <w:bottom w:w="40" w:type="dxa"/>
              <w:right w:w="40" w:type="dxa"/>
            </w:tcMar>
            <w:vAlign w:val="bottom"/>
          </w:tcPr>
          <w:p w14:paraId="3750F64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46"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2/13/2020</w:t>
            </w:r>
          </w:p>
        </w:tc>
        <w:tc>
          <w:tcPr>
            <w:tcW w:w="0" w:type="auto"/>
            <w:shd w:val="clear" w:color="auto" w:fill="auto"/>
            <w:tcMar>
              <w:top w:w="40" w:type="dxa"/>
              <w:left w:w="40" w:type="dxa"/>
              <w:bottom w:w="40" w:type="dxa"/>
              <w:right w:w="40" w:type="dxa"/>
            </w:tcMar>
            <w:vAlign w:val="bottom"/>
          </w:tcPr>
          <w:p w14:paraId="3750F64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4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657" w14:textId="77777777">
        <w:tc>
          <w:tcPr>
            <w:tcW w:w="0" w:type="auto"/>
            <w:shd w:val="clear" w:color="auto" w:fill="auto"/>
            <w:tcMar>
              <w:top w:w="40" w:type="dxa"/>
              <w:left w:w="40" w:type="dxa"/>
              <w:bottom w:w="40" w:type="dxa"/>
              <w:right w:w="40" w:type="dxa"/>
            </w:tcMar>
          </w:tcPr>
          <w:p w14:paraId="3750F64A"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4.2</w:t>
            </w:r>
          </w:p>
        </w:tc>
        <w:tc>
          <w:tcPr>
            <w:tcW w:w="0" w:type="auto"/>
            <w:shd w:val="clear" w:color="auto" w:fill="auto"/>
            <w:tcMar>
              <w:top w:w="40" w:type="dxa"/>
              <w:left w:w="40" w:type="dxa"/>
              <w:bottom w:w="40" w:type="dxa"/>
              <w:right w:w="40" w:type="dxa"/>
            </w:tcMar>
            <w:vAlign w:val="bottom"/>
          </w:tcPr>
          <w:p w14:paraId="3750F64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4C" w14:textId="77777777" w:rsidR="002541AD" w:rsidRDefault="00901AA6">
            <w:pPr>
              <w:textAlignment w:val="top"/>
              <w:rPr>
                <w:rFonts w:ascii="Times New Roman" w:hAnsi="Times New Roman"/>
                <w:sz w:val="18"/>
                <w:szCs w:val="18"/>
              </w:rPr>
            </w:pPr>
            <w:hyperlink r:id="rId76" w:history="1">
              <w:r>
                <w:rPr>
                  <w:rStyle w:val="a5"/>
                  <w:rFonts w:ascii="Arial" w:eastAsia="宋体" w:hAnsi="Arial" w:cs="Arial"/>
                  <w:sz w:val="18"/>
                  <w:szCs w:val="18"/>
                </w:rPr>
                <w:t xml:space="preserve">Fifteenth Supplemental Indenture, dated as of February 13, 2020, between Intel Corporation and Wells Fargo Bank, </w:t>
              </w:r>
              <w:r>
                <w:rPr>
                  <w:rStyle w:val="a5"/>
                  <w:rFonts w:ascii="Arial" w:eastAsia="宋体" w:hAnsi="Arial" w:cs="Arial"/>
                  <w:sz w:val="18"/>
                  <w:szCs w:val="18"/>
                </w:rPr>
                <w:t>National Association, as successor trustee</w:t>
              </w:r>
            </w:hyperlink>
          </w:p>
        </w:tc>
        <w:tc>
          <w:tcPr>
            <w:tcW w:w="0" w:type="auto"/>
            <w:shd w:val="clear" w:color="auto" w:fill="auto"/>
            <w:tcMar>
              <w:top w:w="40" w:type="dxa"/>
              <w:left w:w="40" w:type="dxa"/>
              <w:bottom w:w="40" w:type="dxa"/>
              <w:right w:w="40" w:type="dxa"/>
            </w:tcMar>
            <w:vAlign w:val="bottom"/>
          </w:tcPr>
          <w:p w14:paraId="3750F64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4E"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3750F64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50"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3750F65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52"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4.2</w:t>
            </w:r>
          </w:p>
        </w:tc>
        <w:tc>
          <w:tcPr>
            <w:tcW w:w="0" w:type="auto"/>
            <w:shd w:val="clear" w:color="auto" w:fill="auto"/>
            <w:tcMar>
              <w:top w:w="40" w:type="dxa"/>
              <w:left w:w="40" w:type="dxa"/>
              <w:bottom w:w="40" w:type="dxa"/>
              <w:right w:w="40" w:type="dxa"/>
            </w:tcMar>
            <w:vAlign w:val="bottom"/>
          </w:tcPr>
          <w:p w14:paraId="3750F65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54"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2/13/2020</w:t>
            </w:r>
          </w:p>
        </w:tc>
        <w:tc>
          <w:tcPr>
            <w:tcW w:w="0" w:type="auto"/>
            <w:shd w:val="clear" w:color="auto" w:fill="auto"/>
            <w:tcMar>
              <w:top w:w="40" w:type="dxa"/>
              <w:left w:w="40" w:type="dxa"/>
              <w:bottom w:w="40" w:type="dxa"/>
              <w:right w:w="40" w:type="dxa"/>
            </w:tcMar>
            <w:vAlign w:val="bottom"/>
          </w:tcPr>
          <w:p w14:paraId="3750F65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5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665" w14:textId="77777777">
        <w:tc>
          <w:tcPr>
            <w:tcW w:w="0" w:type="auto"/>
            <w:shd w:val="clear" w:color="auto" w:fill="auto"/>
            <w:tcMar>
              <w:top w:w="40" w:type="dxa"/>
              <w:left w:w="40" w:type="dxa"/>
              <w:bottom w:w="40" w:type="dxa"/>
              <w:right w:w="40" w:type="dxa"/>
            </w:tcMar>
          </w:tcPr>
          <w:p w14:paraId="3750F658"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4.3</w:t>
            </w:r>
          </w:p>
        </w:tc>
        <w:tc>
          <w:tcPr>
            <w:tcW w:w="0" w:type="auto"/>
            <w:shd w:val="clear" w:color="auto" w:fill="auto"/>
            <w:tcMar>
              <w:top w:w="40" w:type="dxa"/>
              <w:left w:w="40" w:type="dxa"/>
              <w:bottom w:w="40" w:type="dxa"/>
              <w:right w:w="40" w:type="dxa"/>
            </w:tcMar>
            <w:vAlign w:val="bottom"/>
          </w:tcPr>
          <w:p w14:paraId="3750F65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5A" w14:textId="77777777" w:rsidR="002541AD" w:rsidRDefault="00901AA6">
            <w:pPr>
              <w:textAlignment w:val="top"/>
              <w:rPr>
                <w:rFonts w:ascii="Times New Roman" w:hAnsi="Times New Roman"/>
                <w:sz w:val="18"/>
                <w:szCs w:val="18"/>
              </w:rPr>
            </w:pPr>
            <w:hyperlink r:id="rId77" w:history="1">
              <w:r>
                <w:rPr>
                  <w:rStyle w:val="a5"/>
                  <w:rFonts w:ascii="Arial" w:eastAsia="宋体" w:hAnsi="Arial" w:cs="Arial"/>
                  <w:sz w:val="18"/>
                  <w:szCs w:val="18"/>
                </w:rPr>
                <w:t>Sixteenth Supplemental Indenture, dated as of March 25, 2020, between Intel Corporation and Wells Fargo Bank, National Association, as successor trustee</w:t>
              </w:r>
            </w:hyperlink>
          </w:p>
        </w:tc>
        <w:tc>
          <w:tcPr>
            <w:tcW w:w="0" w:type="auto"/>
            <w:shd w:val="clear" w:color="auto" w:fill="auto"/>
            <w:tcMar>
              <w:top w:w="40" w:type="dxa"/>
              <w:left w:w="40" w:type="dxa"/>
              <w:bottom w:w="40" w:type="dxa"/>
              <w:right w:w="40" w:type="dxa"/>
            </w:tcMar>
            <w:vAlign w:val="bottom"/>
          </w:tcPr>
          <w:p w14:paraId="3750F65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5C"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3750F65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5E"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3750F65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60"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4.1</w:t>
            </w:r>
          </w:p>
        </w:tc>
        <w:tc>
          <w:tcPr>
            <w:tcW w:w="0" w:type="auto"/>
            <w:shd w:val="clear" w:color="auto" w:fill="auto"/>
            <w:tcMar>
              <w:top w:w="40" w:type="dxa"/>
              <w:left w:w="40" w:type="dxa"/>
              <w:bottom w:w="40" w:type="dxa"/>
              <w:right w:w="40" w:type="dxa"/>
            </w:tcMar>
            <w:vAlign w:val="bottom"/>
          </w:tcPr>
          <w:p w14:paraId="3750F66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62"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3/25/2020</w:t>
            </w:r>
          </w:p>
        </w:tc>
        <w:tc>
          <w:tcPr>
            <w:tcW w:w="0" w:type="auto"/>
            <w:shd w:val="clear" w:color="auto" w:fill="auto"/>
            <w:tcMar>
              <w:top w:w="40" w:type="dxa"/>
              <w:left w:w="40" w:type="dxa"/>
              <w:bottom w:w="40" w:type="dxa"/>
              <w:right w:w="40" w:type="dxa"/>
            </w:tcMar>
            <w:vAlign w:val="bottom"/>
          </w:tcPr>
          <w:p w14:paraId="3750F66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6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673" w14:textId="77777777">
        <w:tc>
          <w:tcPr>
            <w:tcW w:w="0" w:type="auto"/>
            <w:shd w:val="clear" w:color="auto" w:fill="auto"/>
            <w:tcMar>
              <w:top w:w="40" w:type="dxa"/>
              <w:left w:w="40" w:type="dxa"/>
              <w:bottom w:w="40" w:type="dxa"/>
              <w:right w:w="40" w:type="dxa"/>
            </w:tcMar>
          </w:tcPr>
          <w:p w14:paraId="3750F666"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10.1</w:t>
            </w:r>
            <w:r>
              <w:rPr>
                <w:rFonts w:ascii="Arial" w:eastAsia="宋体" w:hAnsi="Arial" w:cs="Arial"/>
                <w:color w:val="333333"/>
                <w:sz w:val="12"/>
                <w:szCs w:val="12"/>
              </w:rPr>
              <w:t>†</w:t>
            </w:r>
          </w:p>
        </w:tc>
        <w:tc>
          <w:tcPr>
            <w:tcW w:w="0" w:type="auto"/>
            <w:shd w:val="clear" w:color="auto" w:fill="auto"/>
            <w:tcMar>
              <w:top w:w="40" w:type="dxa"/>
              <w:left w:w="40" w:type="dxa"/>
              <w:bottom w:w="40" w:type="dxa"/>
              <w:right w:w="40" w:type="dxa"/>
            </w:tcMar>
            <w:vAlign w:val="bottom"/>
          </w:tcPr>
          <w:p w14:paraId="3750F66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68" w14:textId="77777777" w:rsidR="002541AD" w:rsidRDefault="00901AA6">
            <w:pPr>
              <w:textAlignment w:val="top"/>
              <w:rPr>
                <w:rFonts w:ascii="Times New Roman" w:hAnsi="Times New Roman"/>
                <w:sz w:val="18"/>
                <w:szCs w:val="18"/>
              </w:rPr>
            </w:pPr>
            <w:hyperlink r:id="rId78" w:history="1">
              <w:r>
                <w:rPr>
                  <w:rStyle w:val="a5"/>
                  <w:rFonts w:ascii="Arial" w:eastAsia="宋体" w:hAnsi="Arial" w:cs="Arial"/>
                  <w:sz w:val="18"/>
                  <w:szCs w:val="18"/>
                </w:rPr>
                <w:t xml:space="preserve">Intel Corporation Form of Restricted Stock Unit Grant Agreement under the 2006 Equity Incentive Plan </w:t>
              </w:r>
              <w:r>
                <w:rPr>
                  <w:rStyle w:val="a5"/>
                  <w:rFonts w:ascii="Arial" w:eastAsia="宋体" w:hAnsi="Arial" w:cs="Arial"/>
                  <w:sz w:val="18"/>
                  <w:szCs w:val="18"/>
                </w:rPr>
                <w:t>(for performance-based RSUs granted to non-grandfathered executives on or after January 30, 2019)</w:t>
              </w:r>
            </w:hyperlink>
          </w:p>
        </w:tc>
        <w:tc>
          <w:tcPr>
            <w:tcW w:w="0" w:type="auto"/>
            <w:shd w:val="clear" w:color="auto" w:fill="auto"/>
            <w:tcMar>
              <w:top w:w="40" w:type="dxa"/>
              <w:left w:w="40" w:type="dxa"/>
              <w:bottom w:w="40" w:type="dxa"/>
              <w:right w:w="40" w:type="dxa"/>
            </w:tcMar>
            <w:vAlign w:val="bottom"/>
          </w:tcPr>
          <w:p w14:paraId="3750F66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6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6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6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6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6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6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7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7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72"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X</w:t>
            </w:r>
          </w:p>
        </w:tc>
      </w:tr>
      <w:tr w:rsidR="002541AD" w14:paraId="3750F681" w14:textId="77777777">
        <w:tc>
          <w:tcPr>
            <w:tcW w:w="0" w:type="auto"/>
            <w:shd w:val="clear" w:color="auto" w:fill="auto"/>
            <w:tcMar>
              <w:top w:w="40" w:type="dxa"/>
              <w:left w:w="40" w:type="dxa"/>
              <w:bottom w:w="40" w:type="dxa"/>
              <w:right w:w="40" w:type="dxa"/>
            </w:tcMar>
          </w:tcPr>
          <w:p w14:paraId="3750F674"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10.2</w:t>
            </w:r>
            <w:r>
              <w:rPr>
                <w:rFonts w:ascii="Arial" w:eastAsia="宋体" w:hAnsi="Arial" w:cs="Arial"/>
                <w:color w:val="333333"/>
                <w:sz w:val="12"/>
                <w:szCs w:val="12"/>
              </w:rPr>
              <w:t>†</w:t>
            </w:r>
          </w:p>
        </w:tc>
        <w:tc>
          <w:tcPr>
            <w:tcW w:w="0" w:type="auto"/>
            <w:shd w:val="clear" w:color="auto" w:fill="auto"/>
            <w:tcMar>
              <w:top w:w="40" w:type="dxa"/>
              <w:left w:w="40" w:type="dxa"/>
              <w:bottom w:w="40" w:type="dxa"/>
              <w:right w:w="40" w:type="dxa"/>
            </w:tcMar>
            <w:vAlign w:val="bottom"/>
          </w:tcPr>
          <w:p w14:paraId="3750F67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76" w14:textId="77777777" w:rsidR="002541AD" w:rsidRDefault="00901AA6">
            <w:pPr>
              <w:textAlignment w:val="top"/>
              <w:rPr>
                <w:rFonts w:ascii="Times New Roman" w:hAnsi="Times New Roman"/>
                <w:sz w:val="18"/>
                <w:szCs w:val="18"/>
              </w:rPr>
            </w:pPr>
            <w:hyperlink r:id="rId79" w:history="1">
              <w:r>
                <w:rPr>
                  <w:rStyle w:val="a5"/>
                  <w:rFonts w:ascii="Arial" w:eastAsia="宋体" w:hAnsi="Arial" w:cs="Arial"/>
                  <w:sz w:val="18"/>
                  <w:szCs w:val="18"/>
                </w:rPr>
                <w:t>Intel Corporation Executive Annual Performance Bonus Plan</w:t>
              </w:r>
            </w:hyperlink>
          </w:p>
        </w:tc>
        <w:tc>
          <w:tcPr>
            <w:tcW w:w="0" w:type="auto"/>
            <w:shd w:val="clear" w:color="auto" w:fill="auto"/>
            <w:tcMar>
              <w:top w:w="40" w:type="dxa"/>
              <w:left w:w="40" w:type="dxa"/>
              <w:bottom w:w="40" w:type="dxa"/>
              <w:right w:w="40" w:type="dxa"/>
            </w:tcMar>
            <w:vAlign w:val="bottom"/>
          </w:tcPr>
          <w:p w14:paraId="3750F67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78"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8-K</w:t>
            </w:r>
          </w:p>
        </w:tc>
        <w:tc>
          <w:tcPr>
            <w:tcW w:w="0" w:type="auto"/>
            <w:shd w:val="clear" w:color="auto" w:fill="auto"/>
            <w:tcMar>
              <w:top w:w="40" w:type="dxa"/>
              <w:left w:w="40" w:type="dxa"/>
              <w:bottom w:w="40" w:type="dxa"/>
              <w:right w:w="40" w:type="dxa"/>
            </w:tcMar>
            <w:vAlign w:val="bottom"/>
          </w:tcPr>
          <w:p w14:paraId="3750F67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7A"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000-06217</w:t>
            </w:r>
          </w:p>
        </w:tc>
        <w:tc>
          <w:tcPr>
            <w:tcW w:w="0" w:type="auto"/>
            <w:shd w:val="clear" w:color="auto" w:fill="auto"/>
            <w:tcMar>
              <w:top w:w="40" w:type="dxa"/>
              <w:left w:w="40" w:type="dxa"/>
              <w:bottom w:w="40" w:type="dxa"/>
              <w:right w:w="40" w:type="dxa"/>
            </w:tcMar>
            <w:vAlign w:val="bottom"/>
          </w:tcPr>
          <w:p w14:paraId="3750F67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7C"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10.1</w:t>
            </w:r>
          </w:p>
        </w:tc>
        <w:tc>
          <w:tcPr>
            <w:tcW w:w="0" w:type="auto"/>
            <w:shd w:val="clear" w:color="auto" w:fill="auto"/>
            <w:tcMar>
              <w:top w:w="40" w:type="dxa"/>
              <w:left w:w="40" w:type="dxa"/>
              <w:bottom w:w="40" w:type="dxa"/>
              <w:right w:w="40" w:type="dxa"/>
            </w:tcMar>
            <w:vAlign w:val="bottom"/>
          </w:tcPr>
          <w:p w14:paraId="3750F67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7E"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1/22/2020</w:t>
            </w:r>
          </w:p>
        </w:tc>
        <w:tc>
          <w:tcPr>
            <w:tcW w:w="0" w:type="auto"/>
            <w:shd w:val="clear" w:color="auto" w:fill="auto"/>
            <w:tcMar>
              <w:top w:w="40" w:type="dxa"/>
              <w:left w:w="40" w:type="dxa"/>
              <w:bottom w:w="40" w:type="dxa"/>
              <w:right w:w="40" w:type="dxa"/>
            </w:tcMar>
            <w:vAlign w:val="bottom"/>
          </w:tcPr>
          <w:p w14:paraId="3750F67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8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68F" w14:textId="77777777">
        <w:tc>
          <w:tcPr>
            <w:tcW w:w="0" w:type="auto"/>
            <w:shd w:val="clear" w:color="auto" w:fill="auto"/>
            <w:tcMar>
              <w:top w:w="40" w:type="dxa"/>
              <w:left w:w="40" w:type="dxa"/>
              <w:bottom w:w="40" w:type="dxa"/>
              <w:right w:w="40" w:type="dxa"/>
            </w:tcMar>
          </w:tcPr>
          <w:p w14:paraId="3750F682"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10.3</w:t>
            </w:r>
            <w:r>
              <w:rPr>
                <w:rFonts w:ascii="Arial" w:eastAsia="宋体" w:hAnsi="Arial" w:cs="Arial"/>
                <w:color w:val="333333"/>
                <w:sz w:val="12"/>
                <w:szCs w:val="12"/>
              </w:rPr>
              <w:t>†</w:t>
            </w:r>
          </w:p>
        </w:tc>
        <w:tc>
          <w:tcPr>
            <w:tcW w:w="0" w:type="auto"/>
            <w:shd w:val="clear" w:color="auto" w:fill="auto"/>
            <w:tcMar>
              <w:top w:w="40" w:type="dxa"/>
              <w:left w:w="40" w:type="dxa"/>
              <w:bottom w:w="40" w:type="dxa"/>
              <w:right w:w="40" w:type="dxa"/>
            </w:tcMar>
            <w:vAlign w:val="bottom"/>
          </w:tcPr>
          <w:p w14:paraId="3750F68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84" w14:textId="77777777" w:rsidR="002541AD" w:rsidRDefault="00901AA6">
            <w:pPr>
              <w:textAlignment w:val="top"/>
              <w:rPr>
                <w:rFonts w:ascii="Times New Roman" w:hAnsi="Times New Roman"/>
                <w:sz w:val="18"/>
                <w:szCs w:val="18"/>
              </w:rPr>
            </w:pPr>
            <w:hyperlink r:id="rId80" w:history="1">
              <w:r>
                <w:rPr>
                  <w:rStyle w:val="a5"/>
                  <w:rFonts w:ascii="Arial" w:eastAsia="宋体" w:hAnsi="Arial" w:cs="Arial"/>
                  <w:sz w:val="18"/>
                  <w:szCs w:val="18"/>
                </w:rPr>
                <w:t>Intel Corporation Sheltered Employee Retirement Plan Plus, as amended and restated effective January 1, 2020</w:t>
              </w:r>
            </w:hyperlink>
          </w:p>
        </w:tc>
        <w:tc>
          <w:tcPr>
            <w:tcW w:w="0" w:type="auto"/>
            <w:shd w:val="clear" w:color="auto" w:fill="auto"/>
            <w:tcMar>
              <w:top w:w="40" w:type="dxa"/>
              <w:left w:w="40" w:type="dxa"/>
              <w:bottom w:w="40" w:type="dxa"/>
              <w:right w:w="40" w:type="dxa"/>
            </w:tcMar>
            <w:vAlign w:val="bottom"/>
          </w:tcPr>
          <w:p w14:paraId="3750F68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8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8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8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8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8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8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8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8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8E"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X</w:t>
            </w:r>
          </w:p>
        </w:tc>
      </w:tr>
      <w:tr w:rsidR="002541AD" w14:paraId="3750F69D" w14:textId="77777777">
        <w:tc>
          <w:tcPr>
            <w:tcW w:w="0" w:type="auto"/>
            <w:shd w:val="clear" w:color="auto" w:fill="auto"/>
            <w:tcMar>
              <w:top w:w="40" w:type="dxa"/>
              <w:left w:w="40" w:type="dxa"/>
              <w:bottom w:w="40" w:type="dxa"/>
              <w:right w:w="40" w:type="dxa"/>
            </w:tcMar>
          </w:tcPr>
          <w:p w14:paraId="3750F690"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31.1</w:t>
            </w:r>
          </w:p>
        </w:tc>
        <w:tc>
          <w:tcPr>
            <w:tcW w:w="0" w:type="auto"/>
            <w:shd w:val="clear" w:color="auto" w:fill="auto"/>
            <w:tcMar>
              <w:top w:w="40" w:type="dxa"/>
              <w:left w:w="40" w:type="dxa"/>
              <w:bottom w:w="40" w:type="dxa"/>
              <w:right w:w="40" w:type="dxa"/>
            </w:tcMar>
            <w:vAlign w:val="bottom"/>
          </w:tcPr>
          <w:p w14:paraId="3750F69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92" w14:textId="77777777" w:rsidR="002541AD" w:rsidRDefault="00901AA6">
            <w:pPr>
              <w:textAlignment w:val="top"/>
              <w:rPr>
                <w:rFonts w:ascii="Times New Roman" w:hAnsi="Times New Roman"/>
                <w:sz w:val="18"/>
                <w:szCs w:val="18"/>
              </w:rPr>
            </w:pPr>
            <w:hyperlink r:id="rId81" w:history="1">
              <w:r>
                <w:rPr>
                  <w:rStyle w:val="a5"/>
                  <w:rFonts w:ascii="Arial" w:eastAsia="宋体" w:hAnsi="Arial" w:cs="Arial"/>
                  <w:sz w:val="18"/>
                  <w:szCs w:val="18"/>
                </w:rPr>
                <w:t>Certification of the Chief Executive Officer pursuant to Rule 13a-14(a) of the Exchange Act</w:t>
              </w:r>
            </w:hyperlink>
          </w:p>
        </w:tc>
        <w:tc>
          <w:tcPr>
            <w:tcW w:w="0" w:type="auto"/>
            <w:shd w:val="clear" w:color="auto" w:fill="auto"/>
            <w:tcMar>
              <w:top w:w="40" w:type="dxa"/>
              <w:left w:w="40" w:type="dxa"/>
              <w:bottom w:w="40" w:type="dxa"/>
              <w:right w:w="40" w:type="dxa"/>
            </w:tcMar>
            <w:vAlign w:val="bottom"/>
          </w:tcPr>
          <w:p w14:paraId="3750F69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9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9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9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9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9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9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9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9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9C"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X</w:t>
            </w:r>
          </w:p>
        </w:tc>
      </w:tr>
      <w:tr w:rsidR="002541AD" w14:paraId="3750F6AB" w14:textId="77777777">
        <w:tc>
          <w:tcPr>
            <w:tcW w:w="0" w:type="auto"/>
            <w:shd w:val="clear" w:color="auto" w:fill="auto"/>
            <w:tcMar>
              <w:top w:w="40" w:type="dxa"/>
              <w:left w:w="40" w:type="dxa"/>
              <w:bottom w:w="40" w:type="dxa"/>
              <w:right w:w="40" w:type="dxa"/>
            </w:tcMar>
          </w:tcPr>
          <w:p w14:paraId="3750F69E"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31.2</w:t>
            </w:r>
          </w:p>
        </w:tc>
        <w:tc>
          <w:tcPr>
            <w:tcW w:w="0" w:type="auto"/>
            <w:shd w:val="clear" w:color="auto" w:fill="auto"/>
            <w:tcMar>
              <w:top w:w="40" w:type="dxa"/>
              <w:left w:w="40" w:type="dxa"/>
              <w:bottom w:w="40" w:type="dxa"/>
              <w:right w:w="40" w:type="dxa"/>
            </w:tcMar>
            <w:vAlign w:val="bottom"/>
          </w:tcPr>
          <w:p w14:paraId="3750F69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A0" w14:textId="77777777" w:rsidR="002541AD" w:rsidRDefault="00901AA6">
            <w:pPr>
              <w:textAlignment w:val="top"/>
              <w:rPr>
                <w:rFonts w:ascii="Times New Roman" w:hAnsi="Times New Roman"/>
                <w:sz w:val="18"/>
                <w:szCs w:val="18"/>
              </w:rPr>
            </w:pPr>
            <w:hyperlink r:id="rId82" w:history="1">
              <w:r>
                <w:rPr>
                  <w:rStyle w:val="a5"/>
                  <w:rFonts w:ascii="Arial" w:eastAsia="宋体" w:hAnsi="Arial" w:cs="Arial"/>
                  <w:sz w:val="18"/>
                  <w:szCs w:val="18"/>
                </w:rPr>
                <w:t>Certification of the Chief Financial Officer pursuant to Rule 13a-14(a) of the Exchange Act</w:t>
              </w:r>
            </w:hyperlink>
          </w:p>
        </w:tc>
        <w:tc>
          <w:tcPr>
            <w:tcW w:w="0" w:type="auto"/>
            <w:shd w:val="clear" w:color="auto" w:fill="auto"/>
            <w:tcMar>
              <w:top w:w="40" w:type="dxa"/>
              <w:left w:w="40" w:type="dxa"/>
              <w:bottom w:w="40" w:type="dxa"/>
              <w:right w:w="40" w:type="dxa"/>
            </w:tcMar>
            <w:vAlign w:val="bottom"/>
          </w:tcPr>
          <w:p w14:paraId="3750F6A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A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A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A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A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A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A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A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A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AA"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X</w:t>
            </w:r>
          </w:p>
        </w:tc>
      </w:tr>
      <w:tr w:rsidR="002541AD" w14:paraId="3750F6B9" w14:textId="77777777">
        <w:tc>
          <w:tcPr>
            <w:tcW w:w="0" w:type="auto"/>
            <w:shd w:val="clear" w:color="auto" w:fill="auto"/>
            <w:tcMar>
              <w:top w:w="40" w:type="dxa"/>
              <w:left w:w="40" w:type="dxa"/>
              <w:bottom w:w="40" w:type="dxa"/>
              <w:right w:w="40" w:type="dxa"/>
            </w:tcMar>
          </w:tcPr>
          <w:p w14:paraId="3750F6AC"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32.1</w:t>
            </w:r>
          </w:p>
        </w:tc>
        <w:tc>
          <w:tcPr>
            <w:tcW w:w="0" w:type="auto"/>
            <w:shd w:val="clear" w:color="auto" w:fill="auto"/>
            <w:tcMar>
              <w:top w:w="40" w:type="dxa"/>
              <w:left w:w="40" w:type="dxa"/>
              <w:bottom w:w="40" w:type="dxa"/>
              <w:right w:w="40" w:type="dxa"/>
            </w:tcMar>
            <w:vAlign w:val="bottom"/>
          </w:tcPr>
          <w:p w14:paraId="3750F6A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AE" w14:textId="77777777" w:rsidR="002541AD" w:rsidRDefault="00901AA6">
            <w:pPr>
              <w:textAlignment w:val="top"/>
              <w:rPr>
                <w:rFonts w:ascii="Times New Roman" w:hAnsi="Times New Roman"/>
                <w:sz w:val="18"/>
                <w:szCs w:val="18"/>
              </w:rPr>
            </w:pPr>
            <w:hyperlink r:id="rId83" w:history="1">
              <w:r>
                <w:rPr>
                  <w:rStyle w:val="a5"/>
                  <w:rFonts w:ascii="Arial" w:eastAsia="宋体" w:hAnsi="Arial" w:cs="Arial"/>
                  <w:sz w:val="18"/>
                  <w:szCs w:val="18"/>
                </w:rPr>
                <w:t>Certification of the Chief Executive Officer and the Chief Financial Officer pursuant to Rule 13a-14(b) of the Exchange Act and 18 U.S.C. Section 1350</w:t>
              </w:r>
            </w:hyperlink>
          </w:p>
        </w:tc>
        <w:tc>
          <w:tcPr>
            <w:tcW w:w="0" w:type="auto"/>
            <w:shd w:val="clear" w:color="auto" w:fill="auto"/>
            <w:tcMar>
              <w:top w:w="40" w:type="dxa"/>
              <w:left w:w="40" w:type="dxa"/>
              <w:bottom w:w="40" w:type="dxa"/>
              <w:right w:w="40" w:type="dxa"/>
            </w:tcMar>
            <w:vAlign w:val="bottom"/>
          </w:tcPr>
          <w:p w14:paraId="3750F6A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B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B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B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B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B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B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B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B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B8"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X</w:t>
            </w:r>
          </w:p>
        </w:tc>
      </w:tr>
      <w:tr w:rsidR="002541AD" w14:paraId="3750F6C7" w14:textId="77777777">
        <w:tc>
          <w:tcPr>
            <w:tcW w:w="0" w:type="auto"/>
            <w:shd w:val="clear" w:color="auto" w:fill="auto"/>
            <w:tcMar>
              <w:top w:w="40" w:type="dxa"/>
              <w:left w:w="40" w:type="dxa"/>
              <w:bottom w:w="40" w:type="dxa"/>
              <w:right w:w="40" w:type="dxa"/>
            </w:tcMar>
          </w:tcPr>
          <w:p w14:paraId="3750F6BA"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101.INS</w:t>
            </w:r>
          </w:p>
        </w:tc>
        <w:tc>
          <w:tcPr>
            <w:tcW w:w="0" w:type="auto"/>
            <w:shd w:val="clear" w:color="auto" w:fill="auto"/>
            <w:tcMar>
              <w:top w:w="40" w:type="dxa"/>
              <w:left w:w="40" w:type="dxa"/>
              <w:bottom w:w="40" w:type="dxa"/>
              <w:right w:w="40" w:type="dxa"/>
            </w:tcMar>
            <w:vAlign w:val="bottom"/>
          </w:tcPr>
          <w:p w14:paraId="3750F6B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BC"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XBRL Instance Document - the instance document does not appear in the Interactive Data File because its XBRL tags are embedded within the Inline XBRL document</w:t>
            </w:r>
          </w:p>
        </w:tc>
        <w:tc>
          <w:tcPr>
            <w:tcW w:w="0" w:type="auto"/>
            <w:shd w:val="clear" w:color="auto" w:fill="auto"/>
            <w:tcMar>
              <w:top w:w="40" w:type="dxa"/>
              <w:left w:w="40" w:type="dxa"/>
              <w:bottom w:w="40" w:type="dxa"/>
              <w:right w:w="40" w:type="dxa"/>
            </w:tcMar>
            <w:vAlign w:val="bottom"/>
          </w:tcPr>
          <w:p w14:paraId="3750F6B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B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B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C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C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C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C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C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C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C6"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X</w:t>
            </w:r>
          </w:p>
        </w:tc>
      </w:tr>
      <w:tr w:rsidR="002541AD" w14:paraId="3750F6D5" w14:textId="77777777">
        <w:tc>
          <w:tcPr>
            <w:tcW w:w="0" w:type="auto"/>
            <w:shd w:val="clear" w:color="auto" w:fill="auto"/>
            <w:tcMar>
              <w:top w:w="40" w:type="dxa"/>
              <w:left w:w="40" w:type="dxa"/>
              <w:bottom w:w="40" w:type="dxa"/>
              <w:right w:w="40" w:type="dxa"/>
            </w:tcMar>
          </w:tcPr>
          <w:p w14:paraId="3750F6C8"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101.SCH</w:t>
            </w:r>
          </w:p>
        </w:tc>
        <w:tc>
          <w:tcPr>
            <w:tcW w:w="0" w:type="auto"/>
            <w:shd w:val="clear" w:color="auto" w:fill="auto"/>
            <w:tcMar>
              <w:top w:w="40" w:type="dxa"/>
              <w:left w:w="40" w:type="dxa"/>
              <w:bottom w:w="40" w:type="dxa"/>
              <w:right w:w="40" w:type="dxa"/>
            </w:tcMar>
            <w:vAlign w:val="bottom"/>
          </w:tcPr>
          <w:p w14:paraId="3750F6C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CA"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 xml:space="preserve">XBRL Taxonomy </w:t>
            </w:r>
            <w:r>
              <w:rPr>
                <w:rFonts w:ascii="Arial" w:eastAsia="宋体" w:hAnsi="Arial" w:cs="Arial"/>
                <w:color w:val="333333"/>
                <w:sz w:val="18"/>
                <w:szCs w:val="18"/>
              </w:rPr>
              <w:t>Extension Schema Document</w:t>
            </w:r>
          </w:p>
        </w:tc>
        <w:tc>
          <w:tcPr>
            <w:tcW w:w="0" w:type="auto"/>
            <w:shd w:val="clear" w:color="auto" w:fill="auto"/>
            <w:tcMar>
              <w:top w:w="40" w:type="dxa"/>
              <w:left w:w="40" w:type="dxa"/>
              <w:bottom w:w="40" w:type="dxa"/>
              <w:right w:w="40" w:type="dxa"/>
            </w:tcMar>
            <w:vAlign w:val="bottom"/>
          </w:tcPr>
          <w:p w14:paraId="3750F6C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C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C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C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C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D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D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D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D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D4"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X</w:t>
            </w:r>
          </w:p>
        </w:tc>
      </w:tr>
      <w:tr w:rsidR="002541AD" w14:paraId="3750F6E3" w14:textId="77777777">
        <w:tc>
          <w:tcPr>
            <w:tcW w:w="0" w:type="auto"/>
            <w:shd w:val="clear" w:color="auto" w:fill="auto"/>
            <w:tcMar>
              <w:top w:w="40" w:type="dxa"/>
              <w:left w:w="40" w:type="dxa"/>
              <w:bottom w:w="40" w:type="dxa"/>
              <w:right w:w="40" w:type="dxa"/>
            </w:tcMar>
          </w:tcPr>
          <w:p w14:paraId="3750F6D6"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101.CAL</w:t>
            </w:r>
          </w:p>
        </w:tc>
        <w:tc>
          <w:tcPr>
            <w:tcW w:w="0" w:type="auto"/>
            <w:shd w:val="clear" w:color="auto" w:fill="auto"/>
            <w:tcMar>
              <w:top w:w="40" w:type="dxa"/>
              <w:left w:w="40" w:type="dxa"/>
              <w:bottom w:w="40" w:type="dxa"/>
              <w:right w:w="40" w:type="dxa"/>
            </w:tcMar>
            <w:vAlign w:val="bottom"/>
          </w:tcPr>
          <w:p w14:paraId="3750F6D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D8"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XBRL Taxonomy Extension Calculation Linkbase Document</w:t>
            </w:r>
          </w:p>
        </w:tc>
        <w:tc>
          <w:tcPr>
            <w:tcW w:w="0" w:type="auto"/>
            <w:shd w:val="clear" w:color="auto" w:fill="auto"/>
            <w:tcMar>
              <w:top w:w="40" w:type="dxa"/>
              <w:left w:w="40" w:type="dxa"/>
              <w:bottom w:w="40" w:type="dxa"/>
              <w:right w:w="40" w:type="dxa"/>
            </w:tcMar>
            <w:vAlign w:val="bottom"/>
          </w:tcPr>
          <w:p w14:paraId="3750F6D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D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D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D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D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D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D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E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E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E2"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X</w:t>
            </w:r>
          </w:p>
        </w:tc>
      </w:tr>
      <w:tr w:rsidR="002541AD" w14:paraId="3750F6F1" w14:textId="77777777">
        <w:tc>
          <w:tcPr>
            <w:tcW w:w="0" w:type="auto"/>
            <w:shd w:val="clear" w:color="auto" w:fill="auto"/>
            <w:tcMar>
              <w:top w:w="40" w:type="dxa"/>
              <w:left w:w="40" w:type="dxa"/>
              <w:bottom w:w="40" w:type="dxa"/>
              <w:right w:w="40" w:type="dxa"/>
            </w:tcMar>
          </w:tcPr>
          <w:p w14:paraId="3750F6E4"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101.DEF</w:t>
            </w:r>
          </w:p>
        </w:tc>
        <w:tc>
          <w:tcPr>
            <w:tcW w:w="0" w:type="auto"/>
            <w:shd w:val="clear" w:color="auto" w:fill="auto"/>
            <w:tcMar>
              <w:top w:w="40" w:type="dxa"/>
              <w:left w:w="40" w:type="dxa"/>
              <w:bottom w:w="40" w:type="dxa"/>
              <w:right w:w="40" w:type="dxa"/>
            </w:tcMar>
            <w:vAlign w:val="bottom"/>
          </w:tcPr>
          <w:p w14:paraId="3750F6E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E6"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XBRL Taxonomy Extension Definition Linkbase Document</w:t>
            </w:r>
          </w:p>
        </w:tc>
        <w:tc>
          <w:tcPr>
            <w:tcW w:w="0" w:type="auto"/>
            <w:shd w:val="clear" w:color="auto" w:fill="auto"/>
            <w:tcMar>
              <w:top w:w="40" w:type="dxa"/>
              <w:left w:w="40" w:type="dxa"/>
              <w:bottom w:w="40" w:type="dxa"/>
              <w:right w:w="40" w:type="dxa"/>
            </w:tcMar>
            <w:vAlign w:val="bottom"/>
          </w:tcPr>
          <w:p w14:paraId="3750F6E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E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E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E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E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E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E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E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E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F0"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X</w:t>
            </w:r>
          </w:p>
        </w:tc>
      </w:tr>
      <w:tr w:rsidR="002541AD" w14:paraId="3750F6FF" w14:textId="77777777">
        <w:tc>
          <w:tcPr>
            <w:tcW w:w="0" w:type="auto"/>
            <w:shd w:val="clear" w:color="auto" w:fill="auto"/>
            <w:tcMar>
              <w:top w:w="40" w:type="dxa"/>
              <w:left w:w="40" w:type="dxa"/>
              <w:bottom w:w="40" w:type="dxa"/>
              <w:right w:w="40" w:type="dxa"/>
            </w:tcMar>
          </w:tcPr>
          <w:p w14:paraId="3750F6F2"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101.LAB</w:t>
            </w:r>
          </w:p>
        </w:tc>
        <w:tc>
          <w:tcPr>
            <w:tcW w:w="0" w:type="auto"/>
            <w:shd w:val="clear" w:color="auto" w:fill="auto"/>
            <w:tcMar>
              <w:top w:w="40" w:type="dxa"/>
              <w:left w:w="40" w:type="dxa"/>
              <w:bottom w:w="40" w:type="dxa"/>
              <w:right w:w="40" w:type="dxa"/>
            </w:tcMar>
            <w:vAlign w:val="bottom"/>
          </w:tcPr>
          <w:p w14:paraId="3750F6F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F4"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 xml:space="preserve">XBRL Taxonomy </w:t>
            </w:r>
            <w:r>
              <w:rPr>
                <w:rFonts w:ascii="Arial" w:eastAsia="宋体" w:hAnsi="Arial" w:cs="Arial"/>
                <w:color w:val="333333"/>
                <w:sz w:val="18"/>
                <w:szCs w:val="18"/>
              </w:rPr>
              <w:t>Extension Label Linkbase Document</w:t>
            </w:r>
          </w:p>
        </w:tc>
        <w:tc>
          <w:tcPr>
            <w:tcW w:w="0" w:type="auto"/>
            <w:shd w:val="clear" w:color="auto" w:fill="auto"/>
            <w:tcMar>
              <w:top w:w="40" w:type="dxa"/>
              <w:left w:w="40" w:type="dxa"/>
              <w:bottom w:w="40" w:type="dxa"/>
              <w:right w:w="40" w:type="dxa"/>
            </w:tcMar>
            <w:vAlign w:val="bottom"/>
          </w:tcPr>
          <w:p w14:paraId="3750F6F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F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F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F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F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F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F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F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6F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6FE"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X</w:t>
            </w:r>
          </w:p>
        </w:tc>
      </w:tr>
      <w:tr w:rsidR="002541AD" w14:paraId="3750F70D" w14:textId="77777777">
        <w:tc>
          <w:tcPr>
            <w:tcW w:w="0" w:type="auto"/>
            <w:shd w:val="clear" w:color="auto" w:fill="auto"/>
            <w:tcMar>
              <w:top w:w="40" w:type="dxa"/>
              <w:left w:w="40" w:type="dxa"/>
              <w:bottom w:w="40" w:type="dxa"/>
              <w:right w:w="40" w:type="dxa"/>
            </w:tcMar>
          </w:tcPr>
          <w:p w14:paraId="3750F700"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101.PRE</w:t>
            </w:r>
          </w:p>
        </w:tc>
        <w:tc>
          <w:tcPr>
            <w:tcW w:w="0" w:type="auto"/>
            <w:shd w:val="clear" w:color="auto" w:fill="auto"/>
            <w:tcMar>
              <w:top w:w="40" w:type="dxa"/>
              <w:left w:w="40" w:type="dxa"/>
              <w:bottom w:w="40" w:type="dxa"/>
              <w:right w:w="40" w:type="dxa"/>
            </w:tcMar>
            <w:vAlign w:val="bottom"/>
          </w:tcPr>
          <w:p w14:paraId="3750F70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702"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XBRL Taxonomy Extension Presentation Linkbase Document</w:t>
            </w:r>
          </w:p>
        </w:tc>
        <w:tc>
          <w:tcPr>
            <w:tcW w:w="0" w:type="auto"/>
            <w:shd w:val="clear" w:color="auto" w:fill="auto"/>
            <w:tcMar>
              <w:top w:w="40" w:type="dxa"/>
              <w:left w:w="40" w:type="dxa"/>
              <w:bottom w:w="40" w:type="dxa"/>
              <w:right w:w="40" w:type="dxa"/>
            </w:tcMar>
            <w:vAlign w:val="bottom"/>
          </w:tcPr>
          <w:p w14:paraId="3750F70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0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0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0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0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0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0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0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0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70C"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X</w:t>
            </w:r>
          </w:p>
        </w:tc>
      </w:tr>
      <w:tr w:rsidR="002541AD" w14:paraId="3750F71B" w14:textId="77777777">
        <w:tc>
          <w:tcPr>
            <w:tcW w:w="0" w:type="auto"/>
            <w:shd w:val="clear" w:color="auto" w:fill="auto"/>
            <w:tcMar>
              <w:top w:w="40" w:type="dxa"/>
              <w:left w:w="40" w:type="dxa"/>
              <w:bottom w:w="40" w:type="dxa"/>
              <w:right w:w="40" w:type="dxa"/>
            </w:tcMar>
          </w:tcPr>
          <w:p w14:paraId="3750F70E"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104</w:t>
            </w:r>
          </w:p>
        </w:tc>
        <w:tc>
          <w:tcPr>
            <w:tcW w:w="0" w:type="auto"/>
            <w:shd w:val="clear" w:color="auto" w:fill="auto"/>
            <w:tcMar>
              <w:top w:w="40" w:type="dxa"/>
              <w:left w:w="40" w:type="dxa"/>
              <w:bottom w:w="40" w:type="dxa"/>
              <w:right w:w="40" w:type="dxa"/>
            </w:tcMar>
            <w:vAlign w:val="bottom"/>
          </w:tcPr>
          <w:p w14:paraId="3750F70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710"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Cover Page Interactive Data File - formatted in Inline XBRL and included as Exhibit 101</w:t>
            </w:r>
          </w:p>
        </w:tc>
        <w:tc>
          <w:tcPr>
            <w:tcW w:w="0" w:type="auto"/>
            <w:shd w:val="clear" w:color="auto" w:fill="auto"/>
            <w:tcMar>
              <w:top w:w="40" w:type="dxa"/>
              <w:left w:w="40" w:type="dxa"/>
              <w:bottom w:w="40" w:type="dxa"/>
              <w:right w:w="40" w:type="dxa"/>
            </w:tcMar>
            <w:vAlign w:val="bottom"/>
          </w:tcPr>
          <w:p w14:paraId="3750F71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1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1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1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1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1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1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1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1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71A" w14:textId="77777777" w:rsidR="002541AD" w:rsidRDefault="00901AA6">
            <w:pPr>
              <w:jc w:val="center"/>
              <w:textAlignment w:val="top"/>
              <w:rPr>
                <w:rFonts w:ascii="Times New Roman" w:hAnsi="Times New Roman"/>
                <w:sz w:val="18"/>
                <w:szCs w:val="18"/>
              </w:rPr>
            </w:pPr>
            <w:r>
              <w:rPr>
                <w:rFonts w:ascii="Arial" w:eastAsia="宋体" w:hAnsi="Arial" w:cs="Arial"/>
                <w:color w:val="333333"/>
                <w:sz w:val="18"/>
                <w:szCs w:val="18"/>
              </w:rPr>
              <w:t>X</w:t>
            </w:r>
          </w:p>
        </w:tc>
      </w:tr>
    </w:tbl>
    <w:p w14:paraId="3750F71C" w14:textId="77777777" w:rsidR="002541AD" w:rsidRDefault="00901AA6">
      <w:pPr>
        <w:spacing w:line="288" w:lineRule="auto"/>
        <w:rPr>
          <w:rFonts w:ascii="Times New Roman" w:hAnsi="Times New Roman"/>
          <w:sz w:val="18"/>
          <w:szCs w:val="18"/>
        </w:rPr>
      </w:pPr>
      <w:r>
        <w:rPr>
          <w:rFonts w:ascii="Arial" w:eastAsia="宋体" w:hAnsi="Arial" w:cs="Arial"/>
          <w:i/>
          <w:iCs/>
          <w:color w:val="333333"/>
          <w:sz w:val="12"/>
          <w:szCs w:val="12"/>
        </w:rPr>
        <w:t xml:space="preserve">† </w:t>
      </w:r>
      <w:r>
        <w:rPr>
          <w:rFonts w:ascii="Arial" w:eastAsia="宋体" w:hAnsi="Arial" w:cs="Arial"/>
          <w:i/>
          <w:iCs/>
          <w:color w:val="333333"/>
          <w:sz w:val="18"/>
          <w:szCs w:val="18"/>
        </w:rPr>
        <w:t>Management contracts or compensation plans or arrangements in which directors or executive officers are eligible to participate.</w:t>
      </w:r>
    </w:p>
    <w:p w14:paraId="3750F71D" w14:textId="77777777" w:rsidR="002541AD" w:rsidRDefault="002541AD">
      <w:pPr>
        <w:spacing w:line="288" w:lineRule="auto"/>
        <w:rPr>
          <w:rFonts w:ascii="Times New Roman" w:hAnsi="Times New Roman"/>
          <w:sz w:val="18"/>
          <w:szCs w:val="18"/>
        </w:rPr>
      </w:pPr>
    </w:p>
    <w:p w14:paraId="3750F71E"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F720" w14:textId="77777777">
        <w:tc>
          <w:tcPr>
            <w:tcW w:w="0" w:type="auto"/>
            <w:gridSpan w:val="3"/>
            <w:shd w:val="clear" w:color="auto" w:fill="auto"/>
            <w:vAlign w:val="center"/>
          </w:tcPr>
          <w:p w14:paraId="3750F71F" w14:textId="77777777" w:rsidR="002541AD" w:rsidRDefault="002541AD">
            <w:pPr>
              <w:rPr>
                <w:rFonts w:ascii="Times New Roman" w:hAnsi="Times New Roman"/>
                <w:sz w:val="20"/>
                <w:szCs w:val="20"/>
              </w:rPr>
            </w:pPr>
          </w:p>
        </w:tc>
      </w:tr>
      <w:tr w:rsidR="002541AD" w14:paraId="3750F724" w14:textId="77777777">
        <w:tc>
          <w:tcPr>
            <w:tcW w:w="1550" w:type="pct"/>
            <w:shd w:val="clear" w:color="auto" w:fill="auto"/>
            <w:vAlign w:val="center"/>
          </w:tcPr>
          <w:p w14:paraId="3750F721" w14:textId="77777777" w:rsidR="002541AD" w:rsidRDefault="002541AD">
            <w:pPr>
              <w:rPr>
                <w:rFonts w:ascii="Times New Roman" w:hAnsi="Times New Roman"/>
                <w:sz w:val="20"/>
                <w:szCs w:val="20"/>
              </w:rPr>
            </w:pPr>
          </w:p>
        </w:tc>
        <w:tc>
          <w:tcPr>
            <w:tcW w:w="2200" w:type="pct"/>
            <w:shd w:val="clear" w:color="auto" w:fill="auto"/>
            <w:vAlign w:val="center"/>
          </w:tcPr>
          <w:p w14:paraId="3750F722" w14:textId="77777777" w:rsidR="002541AD" w:rsidRDefault="002541AD">
            <w:pPr>
              <w:rPr>
                <w:rFonts w:ascii="Times New Roman" w:hAnsi="Times New Roman"/>
                <w:sz w:val="20"/>
                <w:szCs w:val="20"/>
              </w:rPr>
            </w:pPr>
          </w:p>
        </w:tc>
        <w:tc>
          <w:tcPr>
            <w:tcW w:w="1250" w:type="pct"/>
            <w:shd w:val="clear" w:color="auto" w:fill="auto"/>
            <w:vAlign w:val="center"/>
          </w:tcPr>
          <w:p w14:paraId="3750F723" w14:textId="77777777" w:rsidR="002541AD" w:rsidRDefault="002541AD">
            <w:pPr>
              <w:rPr>
                <w:rFonts w:ascii="Times New Roman" w:hAnsi="Times New Roman"/>
                <w:sz w:val="20"/>
                <w:szCs w:val="20"/>
              </w:rPr>
            </w:pPr>
          </w:p>
        </w:tc>
      </w:tr>
      <w:tr w:rsidR="002541AD" w14:paraId="3750F728"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F725"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E4" wp14:editId="3750F8E5">
                  <wp:extent cx="304800" cy="304800"/>
                  <wp:effectExtent l="0" t="0" r="0" b="0"/>
                  <wp:docPr id="78" name="图片 144"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44"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72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727"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44</w:t>
            </w:r>
          </w:p>
        </w:tc>
      </w:tr>
    </w:tbl>
    <w:p w14:paraId="3750F729" w14:textId="77777777" w:rsidR="002541AD" w:rsidRDefault="002541AD">
      <w:pPr>
        <w:spacing w:line="288" w:lineRule="auto"/>
        <w:rPr>
          <w:rFonts w:ascii="Times New Roman" w:hAnsi="Times New Roman"/>
          <w:sz w:val="18"/>
          <w:szCs w:val="18"/>
        </w:rPr>
      </w:pPr>
    </w:p>
    <w:p w14:paraId="3750F72A" w14:textId="77777777" w:rsidR="002541AD" w:rsidRDefault="00901AA6">
      <w:r>
        <w:rPr>
          <w:rFonts w:ascii="Times New Roman" w:hAnsi="Times New Roman"/>
          <w:sz w:val="18"/>
          <w:szCs w:val="18"/>
        </w:rPr>
        <w:pict w14:anchorId="3750F8E6">
          <v:rect id="_x0000_i1070" style="width:415.3pt;height:1.5pt" o:hralign="center" o:hrstd="t" o:hr="t" fillcolor="#a0a0a0" stroked="f"/>
        </w:pict>
      </w:r>
    </w:p>
    <w:p w14:paraId="3750F72B" w14:textId="77777777" w:rsidR="002541AD" w:rsidRDefault="00901AA6">
      <w:pPr>
        <w:spacing w:line="288" w:lineRule="auto"/>
        <w:jc w:val="right"/>
        <w:rPr>
          <w:rFonts w:ascii="Times New Roman" w:hAnsi="Times New Roman"/>
          <w:sz w:val="16"/>
          <w:szCs w:val="16"/>
        </w:rPr>
      </w:pPr>
      <w:hyperlink r:id="rId84" w:anchor="s2CABEAF4222C52B4A34547BF538A8C27" w:history="1">
        <w:r>
          <w:rPr>
            <w:rStyle w:val="a5"/>
            <w:rFonts w:ascii="Arial" w:eastAsia="宋体" w:hAnsi="Arial" w:cs="Arial"/>
            <w:b/>
            <w:bCs/>
            <w:sz w:val="16"/>
            <w:szCs w:val="16"/>
          </w:rPr>
          <w:t>Table of Contents</w:t>
        </w:r>
      </w:hyperlink>
    </w:p>
    <w:p w14:paraId="3750F72C" w14:textId="77777777" w:rsidR="002541AD" w:rsidRDefault="002541AD">
      <w:pPr>
        <w:spacing w:line="288" w:lineRule="auto"/>
        <w:jc w:val="right"/>
        <w:rPr>
          <w:rFonts w:ascii="Times New Roman" w:hAnsi="Times New Roman"/>
          <w:sz w:val="18"/>
          <w:szCs w:val="18"/>
        </w:rPr>
      </w:pPr>
    </w:p>
    <w:p w14:paraId="3750F72D" w14:textId="77777777" w:rsidR="002541AD" w:rsidRDefault="002541AD">
      <w:pPr>
        <w:rPr>
          <w:rFonts w:ascii="Times New Roman" w:hAnsi="Times New Roman"/>
          <w:sz w:val="20"/>
          <w:szCs w:val="20"/>
        </w:rPr>
      </w:pPr>
    </w:p>
    <w:p w14:paraId="3750F72E"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FORM 10-Q CROSS-REFERENCE INDEX</w:t>
      </w:r>
    </w:p>
    <w:tbl>
      <w:tblPr>
        <w:tblW w:w="5000" w:type="pct"/>
        <w:tblCellMar>
          <w:left w:w="0" w:type="dxa"/>
          <w:right w:w="0" w:type="dxa"/>
        </w:tblCellMar>
        <w:tblLook w:val="04A0" w:firstRow="1" w:lastRow="0" w:firstColumn="1" w:lastColumn="0" w:noHBand="0" w:noVBand="1"/>
      </w:tblPr>
      <w:tblGrid>
        <w:gridCol w:w="1011"/>
        <w:gridCol w:w="4976"/>
        <w:gridCol w:w="2319"/>
      </w:tblGrid>
      <w:tr w:rsidR="002541AD" w14:paraId="3750F730" w14:textId="77777777">
        <w:tc>
          <w:tcPr>
            <w:tcW w:w="0" w:type="auto"/>
            <w:gridSpan w:val="3"/>
            <w:shd w:val="clear" w:color="auto" w:fill="auto"/>
            <w:vAlign w:val="center"/>
          </w:tcPr>
          <w:p w14:paraId="3750F72F" w14:textId="77777777" w:rsidR="002541AD" w:rsidRDefault="002541AD">
            <w:pPr>
              <w:rPr>
                <w:rFonts w:ascii="Times New Roman" w:hAnsi="Times New Roman"/>
                <w:sz w:val="20"/>
                <w:szCs w:val="20"/>
              </w:rPr>
            </w:pPr>
          </w:p>
        </w:tc>
      </w:tr>
      <w:tr w:rsidR="002541AD" w14:paraId="3750F734" w14:textId="77777777">
        <w:tc>
          <w:tcPr>
            <w:tcW w:w="600" w:type="pct"/>
            <w:shd w:val="clear" w:color="auto" w:fill="auto"/>
            <w:vAlign w:val="center"/>
          </w:tcPr>
          <w:p w14:paraId="3750F731" w14:textId="77777777" w:rsidR="002541AD" w:rsidRDefault="002541AD">
            <w:pPr>
              <w:rPr>
                <w:rFonts w:ascii="Times New Roman" w:hAnsi="Times New Roman"/>
                <w:sz w:val="20"/>
                <w:szCs w:val="20"/>
              </w:rPr>
            </w:pPr>
          </w:p>
        </w:tc>
        <w:tc>
          <w:tcPr>
            <w:tcW w:w="3000" w:type="pct"/>
            <w:shd w:val="clear" w:color="auto" w:fill="auto"/>
            <w:vAlign w:val="center"/>
          </w:tcPr>
          <w:p w14:paraId="3750F732" w14:textId="77777777" w:rsidR="002541AD" w:rsidRDefault="002541AD">
            <w:pPr>
              <w:rPr>
                <w:rFonts w:ascii="Times New Roman" w:hAnsi="Times New Roman"/>
                <w:sz w:val="20"/>
                <w:szCs w:val="20"/>
              </w:rPr>
            </w:pPr>
          </w:p>
        </w:tc>
        <w:tc>
          <w:tcPr>
            <w:tcW w:w="1400" w:type="pct"/>
            <w:shd w:val="clear" w:color="auto" w:fill="auto"/>
            <w:vAlign w:val="center"/>
          </w:tcPr>
          <w:p w14:paraId="3750F733" w14:textId="77777777" w:rsidR="002541AD" w:rsidRDefault="002541AD">
            <w:pPr>
              <w:rPr>
                <w:rFonts w:ascii="Times New Roman" w:hAnsi="Times New Roman"/>
                <w:sz w:val="20"/>
                <w:szCs w:val="20"/>
              </w:rPr>
            </w:pPr>
          </w:p>
        </w:tc>
      </w:tr>
      <w:tr w:rsidR="002541AD" w14:paraId="3750F738"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F735"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Item Number</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F736"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Item</w:t>
            </w:r>
          </w:p>
        </w:tc>
        <w:tc>
          <w:tcPr>
            <w:tcW w:w="0" w:type="auto"/>
            <w:tcBorders>
              <w:bottom w:val="single" w:sz="8" w:space="0" w:color="0071C5"/>
            </w:tcBorders>
            <w:shd w:val="clear" w:color="auto" w:fill="auto"/>
            <w:tcMar>
              <w:top w:w="40" w:type="dxa"/>
              <w:left w:w="40" w:type="dxa"/>
              <w:bottom w:w="40" w:type="dxa"/>
              <w:right w:w="40" w:type="dxa"/>
            </w:tcMar>
            <w:vAlign w:val="center"/>
          </w:tcPr>
          <w:p w14:paraId="3750F737" w14:textId="77777777" w:rsidR="002541AD" w:rsidRDefault="00901AA6">
            <w:pPr>
              <w:jc w:val="center"/>
              <w:textAlignment w:val="center"/>
              <w:rPr>
                <w:rFonts w:ascii="Times New Roman" w:hAnsi="Times New Roman"/>
                <w:sz w:val="18"/>
                <w:szCs w:val="18"/>
              </w:rPr>
            </w:pPr>
            <w:r>
              <w:rPr>
                <w:rFonts w:ascii="Arial" w:eastAsia="宋体" w:hAnsi="Arial" w:cs="Arial"/>
                <w:b/>
                <w:bCs/>
                <w:color w:val="333333"/>
                <w:sz w:val="18"/>
                <w:szCs w:val="18"/>
              </w:rPr>
              <w:t> </w:t>
            </w:r>
          </w:p>
        </w:tc>
      </w:tr>
      <w:tr w:rsidR="002541AD" w14:paraId="3750F73B" w14:textId="77777777">
        <w:tc>
          <w:tcPr>
            <w:tcW w:w="0" w:type="auto"/>
            <w:gridSpan w:val="2"/>
            <w:shd w:val="clear" w:color="auto" w:fill="auto"/>
            <w:tcMar>
              <w:top w:w="40" w:type="dxa"/>
              <w:left w:w="40" w:type="dxa"/>
              <w:bottom w:w="40" w:type="dxa"/>
              <w:right w:w="40" w:type="dxa"/>
            </w:tcMar>
            <w:vAlign w:val="bottom"/>
          </w:tcPr>
          <w:p w14:paraId="3750F739"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 xml:space="preserve">Part I - </w:t>
            </w:r>
            <w:r>
              <w:rPr>
                <w:rFonts w:ascii="Arial" w:eastAsia="宋体" w:hAnsi="Arial" w:cs="Arial"/>
                <w:b/>
                <w:bCs/>
                <w:color w:val="0071C5"/>
                <w:sz w:val="18"/>
                <w:szCs w:val="18"/>
              </w:rPr>
              <w:t>Financial Information</w:t>
            </w:r>
          </w:p>
        </w:tc>
        <w:tc>
          <w:tcPr>
            <w:tcW w:w="0" w:type="auto"/>
            <w:shd w:val="clear" w:color="auto" w:fill="auto"/>
            <w:tcMar>
              <w:top w:w="40" w:type="dxa"/>
              <w:left w:w="40" w:type="dxa"/>
              <w:bottom w:w="40" w:type="dxa"/>
              <w:right w:w="40" w:type="dxa"/>
            </w:tcMar>
            <w:vAlign w:val="bottom"/>
          </w:tcPr>
          <w:p w14:paraId="3750F73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73F" w14:textId="77777777">
        <w:tc>
          <w:tcPr>
            <w:tcW w:w="0" w:type="auto"/>
            <w:shd w:val="clear" w:color="auto" w:fill="auto"/>
            <w:tcMar>
              <w:top w:w="40" w:type="dxa"/>
              <w:left w:w="40" w:type="dxa"/>
              <w:bottom w:w="40" w:type="dxa"/>
              <w:right w:w="40" w:type="dxa"/>
            </w:tcMar>
            <w:vAlign w:val="bottom"/>
          </w:tcPr>
          <w:p w14:paraId="3750F73C"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Item 1.</w:t>
            </w:r>
          </w:p>
        </w:tc>
        <w:tc>
          <w:tcPr>
            <w:tcW w:w="0" w:type="auto"/>
            <w:shd w:val="clear" w:color="auto" w:fill="auto"/>
            <w:tcMar>
              <w:top w:w="40" w:type="dxa"/>
              <w:left w:w="40" w:type="dxa"/>
              <w:bottom w:w="40" w:type="dxa"/>
              <w:right w:w="40" w:type="dxa"/>
            </w:tcMar>
            <w:vAlign w:val="bottom"/>
          </w:tcPr>
          <w:p w14:paraId="3750F73D"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Financial Statements</w:t>
            </w:r>
          </w:p>
        </w:tc>
        <w:tc>
          <w:tcPr>
            <w:tcW w:w="0" w:type="auto"/>
            <w:shd w:val="clear" w:color="auto" w:fill="auto"/>
            <w:tcMar>
              <w:top w:w="40" w:type="dxa"/>
              <w:left w:w="40" w:type="dxa"/>
              <w:bottom w:w="40" w:type="dxa"/>
              <w:right w:w="40" w:type="dxa"/>
            </w:tcMar>
            <w:vAlign w:val="center"/>
          </w:tcPr>
          <w:p w14:paraId="3750F73E" w14:textId="77777777" w:rsidR="002541AD" w:rsidRDefault="00901AA6">
            <w:pPr>
              <w:jc w:val="center"/>
              <w:textAlignment w:val="center"/>
              <w:rPr>
                <w:rFonts w:ascii="Times New Roman" w:hAnsi="Times New Roman"/>
                <w:sz w:val="18"/>
                <w:szCs w:val="18"/>
              </w:rPr>
            </w:pPr>
            <w:r>
              <w:rPr>
                <w:rFonts w:ascii="Arial" w:eastAsia="宋体" w:hAnsi="Arial" w:cs="Arial"/>
                <w:color w:val="333333"/>
                <w:sz w:val="18"/>
                <w:szCs w:val="18"/>
              </w:rPr>
              <w:t xml:space="preserve">Pages </w:t>
            </w:r>
            <w:hyperlink r:id="rId85" w:anchor="s5F58BDAA04075DC086E17ED16A10F828" w:history="1">
              <w:r>
                <w:rPr>
                  <w:rStyle w:val="a5"/>
                  <w:rFonts w:ascii="Arial" w:eastAsia="宋体" w:hAnsi="Arial" w:cs="Arial"/>
                  <w:sz w:val="18"/>
                  <w:szCs w:val="18"/>
                </w:rPr>
                <w:t>6</w:t>
              </w:r>
            </w:hyperlink>
            <w:r>
              <w:rPr>
                <w:rFonts w:ascii="Arial" w:eastAsia="宋体" w:hAnsi="Arial" w:cs="Arial"/>
                <w:color w:val="333333"/>
                <w:sz w:val="18"/>
                <w:szCs w:val="18"/>
              </w:rPr>
              <w:t xml:space="preserve"> - </w:t>
            </w:r>
            <w:hyperlink r:id="rId86" w:anchor="s8F881AC16AAA5391B5D0A47508E80CAC" w:history="1">
              <w:r>
                <w:rPr>
                  <w:rStyle w:val="a5"/>
                  <w:rFonts w:ascii="Arial" w:eastAsia="宋体" w:hAnsi="Arial" w:cs="Arial"/>
                  <w:sz w:val="18"/>
                  <w:szCs w:val="18"/>
                </w:rPr>
                <w:t>26</w:t>
              </w:r>
            </w:hyperlink>
          </w:p>
        </w:tc>
      </w:tr>
      <w:tr w:rsidR="002541AD" w14:paraId="3750F743" w14:textId="77777777">
        <w:tc>
          <w:tcPr>
            <w:tcW w:w="0" w:type="auto"/>
            <w:shd w:val="clear" w:color="auto" w:fill="auto"/>
            <w:tcMar>
              <w:top w:w="40" w:type="dxa"/>
              <w:left w:w="40" w:type="dxa"/>
              <w:bottom w:w="40" w:type="dxa"/>
              <w:right w:w="40" w:type="dxa"/>
            </w:tcMar>
            <w:vAlign w:val="center"/>
          </w:tcPr>
          <w:p w14:paraId="3750F740" w14:textId="77777777" w:rsidR="002541AD" w:rsidRDefault="00901AA6">
            <w:pPr>
              <w:textAlignment w:val="center"/>
              <w:rPr>
                <w:rFonts w:ascii="Times New Roman" w:hAnsi="Times New Roman"/>
                <w:sz w:val="18"/>
                <w:szCs w:val="18"/>
              </w:rPr>
            </w:pPr>
            <w:r>
              <w:rPr>
                <w:rFonts w:ascii="Arial" w:eastAsia="宋体" w:hAnsi="Arial" w:cs="Arial"/>
                <w:b/>
                <w:bCs/>
                <w:color w:val="333333"/>
                <w:sz w:val="18"/>
                <w:szCs w:val="18"/>
              </w:rPr>
              <w:t>Item 2.</w:t>
            </w:r>
          </w:p>
        </w:tc>
        <w:tc>
          <w:tcPr>
            <w:tcW w:w="0" w:type="auto"/>
            <w:shd w:val="clear" w:color="auto" w:fill="auto"/>
            <w:tcMar>
              <w:top w:w="40" w:type="dxa"/>
              <w:left w:w="40" w:type="dxa"/>
              <w:bottom w:w="40" w:type="dxa"/>
              <w:right w:w="40" w:type="dxa"/>
            </w:tcMar>
            <w:vAlign w:val="bottom"/>
          </w:tcPr>
          <w:p w14:paraId="3750F741"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Management's Discussion and Analysis of Financial Condition and Results of Operation</w:t>
            </w:r>
            <w:r>
              <w:rPr>
                <w:rFonts w:ascii="Arial" w:eastAsia="宋体" w:hAnsi="Arial" w:cs="Arial"/>
                <w:b/>
                <w:bCs/>
                <w:color w:val="333333"/>
                <w:sz w:val="18"/>
                <w:szCs w:val="18"/>
              </w:rPr>
              <w:t>s:</w:t>
            </w:r>
          </w:p>
        </w:tc>
        <w:tc>
          <w:tcPr>
            <w:tcW w:w="0" w:type="auto"/>
            <w:shd w:val="clear" w:color="auto" w:fill="auto"/>
            <w:tcMar>
              <w:top w:w="40" w:type="dxa"/>
              <w:left w:w="40" w:type="dxa"/>
              <w:bottom w:w="40" w:type="dxa"/>
              <w:right w:w="40" w:type="dxa"/>
            </w:tcMar>
            <w:vAlign w:val="bottom"/>
          </w:tcPr>
          <w:p w14:paraId="3750F74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747" w14:textId="77777777">
        <w:tc>
          <w:tcPr>
            <w:tcW w:w="0" w:type="auto"/>
            <w:shd w:val="clear" w:color="auto" w:fill="auto"/>
            <w:tcMar>
              <w:top w:w="40" w:type="dxa"/>
              <w:left w:w="40" w:type="dxa"/>
              <w:bottom w:w="40" w:type="dxa"/>
              <w:right w:w="40" w:type="dxa"/>
            </w:tcMar>
            <w:vAlign w:val="bottom"/>
          </w:tcPr>
          <w:p w14:paraId="3750F74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0" w:type="dxa"/>
              <w:bottom w:w="40" w:type="dxa"/>
              <w:right w:w="40" w:type="dxa"/>
            </w:tcMar>
            <w:vAlign w:val="bottom"/>
          </w:tcPr>
          <w:p w14:paraId="3750F745"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Results of operations</w:t>
            </w:r>
          </w:p>
        </w:tc>
        <w:tc>
          <w:tcPr>
            <w:tcW w:w="0" w:type="auto"/>
            <w:shd w:val="clear" w:color="auto" w:fill="auto"/>
            <w:tcMar>
              <w:top w:w="40" w:type="dxa"/>
              <w:left w:w="40" w:type="dxa"/>
              <w:bottom w:w="40" w:type="dxa"/>
              <w:right w:w="40" w:type="dxa"/>
            </w:tcMar>
            <w:vAlign w:val="center"/>
          </w:tcPr>
          <w:p w14:paraId="3750F746" w14:textId="77777777" w:rsidR="002541AD" w:rsidRDefault="00901AA6">
            <w:pPr>
              <w:jc w:val="center"/>
              <w:textAlignment w:val="center"/>
              <w:rPr>
                <w:rFonts w:ascii="Times New Roman" w:hAnsi="Times New Roman"/>
                <w:sz w:val="18"/>
                <w:szCs w:val="18"/>
              </w:rPr>
            </w:pPr>
            <w:r>
              <w:rPr>
                <w:rFonts w:ascii="Arial" w:eastAsia="宋体" w:hAnsi="Arial" w:cs="Arial"/>
                <w:color w:val="333333"/>
                <w:sz w:val="18"/>
                <w:szCs w:val="18"/>
              </w:rPr>
              <w:t xml:space="preserve">Pages </w:t>
            </w:r>
            <w:hyperlink r:id="rId87" w:anchor="s549a9573c248495fa64eb1791ee60e71" w:history="1">
              <w:r>
                <w:rPr>
                  <w:rStyle w:val="a5"/>
                  <w:rFonts w:ascii="Arial" w:eastAsia="宋体" w:hAnsi="Arial" w:cs="Arial"/>
                  <w:sz w:val="18"/>
                  <w:szCs w:val="18"/>
                </w:rPr>
                <w:t>2</w:t>
              </w:r>
            </w:hyperlink>
            <w:r>
              <w:rPr>
                <w:rFonts w:ascii="Arial" w:eastAsia="宋体" w:hAnsi="Arial" w:cs="Arial"/>
                <w:color w:val="333333"/>
                <w:sz w:val="18"/>
                <w:szCs w:val="18"/>
              </w:rPr>
              <w:t xml:space="preserve"> - </w:t>
            </w:r>
            <w:hyperlink r:id="rId88" w:anchor="s898CE8CE4B415C178799E1ABD1798722" w:history="1">
              <w:r>
                <w:rPr>
                  <w:rStyle w:val="a5"/>
                  <w:rFonts w:ascii="Arial" w:eastAsia="宋体" w:hAnsi="Arial" w:cs="Arial"/>
                  <w:sz w:val="18"/>
                  <w:szCs w:val="18"/>
                </w:rPr>
                <w:t>5</w:t>
              </w:r>
            </w:hyperlink>
            <w:r>
              <w:rPr>
                <w:rFonts w:ascii="Arial" w:eastAsia="宋体" w:hAnsi="Arial" w:cs="Arial"/>
                <w:color w:val="333333"/>
                <w:sz w:val="18"/>
                <w:szCs w:val="18"/>
              </w:rPr>
              <w:t xml:space="preserve">, </w:t>
            </w:r>
            <w:hyperlink r:id="rId89" w:anchor="sCBDFA5097CC157FF89E4464036ECE3B5" w:history="1">
              <w:r>
                <w:rPr>
                  <w:rStyle w:val="a5"/>
                  <w:rFonts w:ascii="Arial" w:eastAsia="宋体" w:hAnsi="Arial" w:cs="Arial"/>
                  <w:sz w:val="18"/>
                  <w:szCs w:val="18"/>
                </w:rPr>
                <w:t>27</w:t>
              </w:r>
            </w:hyperlink>
            <w:r>
              <w:rPr>
                <w:rFonts w:ascii="Arial" w:eastAsia="宋体" w:hAnsi="Arial" w:cs="Arial"/>
                <w:color w:val="333333"/>
                <w:sz w:val="18"/>
                <w:szCs w:val="18"/>
              </w:rPr>
              <w:t xml:space="preserve"> - </w:t>
            </w:r>
            <w:hyperlink r:id="rId90" w:anchor="sD1EE6446EF3F55E680C88211B651DA1A" w:history="1">
              <w:r>
                <w:rPr>
                  <w:rStyle w:val="a5"/>
                  <w:rFonts w:ascii="Arial" w:eastAsia="宋体" w:hAnsi="Arial" w:cs="Arial"/>
                  <w:sz w:val="18"/>
                  <w:szCs w:val="18"/>
                </w:rPr>
                <w:t>35</w:t>
              </w:r>
            </w:hyperlink>
          </w:p>
        </w:tc>
      </w:tr>
      <w:tr w:rsidR="002541AD" w14:paraId="3750F74B" w14:textId="77777777">
        <w:tc>
          <w:tcPr>
            <w:tcW w:w="0" w:type="auto"/>
            <w:shd w:val="clear" w:color="auto" w:fill="auto"/>
            <w:tcMar>
              <w:top w:w="40" w:type="dxa"/>
              <w:left w:w="40" w:type="dxa"/>
              <w:bottom w:w="40" w:type="dxa"/>
              <w:right w:w="40" w:type="dxa"/>
            </w:tcMar>
            <w:vAlign w:val="bottom"/>
          </w:tcPr>
          <w:p w14:paraId="3750F748"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0" w:type="dxa"/>
              <w:bottom w:w="40" w:type="dxa"/>
              <w:right w:w="40" w:type="dxa"/>
            </w:tcMar>
            <w:vAlign w:val="bottom"/>
          </w:tcPr>
          <w:p w14:paraId="3750F749"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Liquidity and capital resources</w:t>
            </w:r>
          </w:p>
        </w:tc>
        <w:tc>
          <w:tcPr>
            <w:tcW w:w="0" w:type="auto"/>
            <w:shd w:val="clear" w:color="auto" w:fill="auto"/>
            <w:tcMar>
              <w:top w:w="40" w:type="dxa"/>
              <w:left w:w="40" w:type="dxa"/>
              <w:bottom w:w="40" w:type="dxa"/>
              <w:right w:w="40" w:type="dxa"/>
            </w:tcMar>
            <w:vAlign w:val="center"/>
          </w:tcPr>
          <w:p w14:paraId="3750F74A" w14:textId="77777777" w:rsidR="002541AD" w:rsidRDefault="00901AA6">
            <w:pPr>
              <w:jc w:val="center"/>
              <w:textAlignment w:val="center"/>
              <w:rPr>
                <w:rFonts w:ascii="Times New Roman" w:hAnsi="Times New Roman"/>
                <w:sz w:val="18"/>
                <w:szCs w:val="18"/>
              </w:rPr>
            </w:pPr>
            <w:r>
              <w:rPr>
                <w:rFonts w:ascii="Arial" w:eastAsia="宋体" w:hAnsi="Arial" w:cs="Arial"/>
                <w:color w:val="333333"/>
                <w:sz w:val="18"/>
                <w:szCs w:val="18"/>
              </w:rPr>
              <w:t xml:space="preserve">Pages </w:t>
            </w:r>
            <w:hyperlink r:id="rId91" w:anchor="sE8E489FC8E44571A8F0B9D0DA01FDC80" w:history="1">
              <w:r>
                <w:rPr>
                  <w:rStyle w:val="a5"/>
                  <w:rFonts w:ascii="Arial" w:eastAsia="宋体" w:hAnsi="Arial" w:cs="Arial"/>
                  <w:sz w:val="18"/>
                  <w:szCs w:val="18"/>
                </w:rPr>
                <w:t>36</w:t>
              </w:r>
            </w:hyperlink>
            <w:r>
              <w:rPr>
                <w:rFonts w:ascii="Arial" w:eastAsia="宋体" w:hAnsi="Arial" w:cs="Arial"/>
                <w:color w:val="333333"/>
                <w:sz w:val="18"/>
                <w:szCs w:val="18"/>
              </w:rPr>
              <w:t xml:space="preserve"> - </w:t>
            </w:r>
            <w:hyperlink r:id="rId92" w:anchor="s9FEC776597E85805B42CDA82C9A74D61" w:history="1">
              <w:r>
                <w:rPr>
                  <w:rStyle w:val="a5"/>
                  <w:rFonts w:ascii="Arial" w:eastAsia="宋体" w:hAnsi="Arial" w:cs="Arial"/>
                  <w:sz w:val="18"/>
                  <w:szCs w:val="18"/>
                </w:rPr>
                <w:t>37</w:t>
              </w:r>
            </w:hyperlink>
          </w:p>
        </w:tc>
      </w:tr>
      <w:tr w:rsidR="002541AD" w14:paraId="3750F74F" w14:textId="77777777">
        <w:tc>
          <w:tcPr>
            <w:tcW w:w="0" w:type="auto"/>
            <w:shd w:val="clear" w:color="auto" w:fill="auto"/>
            <w:tcMar>
              <w:top w:w="40" w:type="dxa"/>
              <w:left w:w="40" w:type="dxa"/>
              <w:bottom w:w="40" w:type="dxa"/>
              <w:right w:w="40" w:type="dxa"/>
            </w:tcMar>
            <w:vAlign w:val="bottom"/>
          </w:tcPr>
          <w:p w14:paraId="3750F74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0" w:type="dxa"/>
              <w:bottom w:w="40" w:type="dxa"/>
              <w:right w:w="40" w:type="dxa"/>
            </w:tcMar>
            <w:vAlign w:val="bottom"/>
          </w:tcPr>
          <w:p w14:paraId="3750F74D"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xml:space="preserve">Off-balance sheet arrangements </w:t>
            </w:r>
          </w:p>
        </w:tc>
        <w:tc>
          <w:tcPr>
            <w:tcW w:w="0" w:type="auto"/>
            <w:shd w:val="clear" w:color="auto" w:fill="auto"/>
            <w:tcMar>
              <w:top w:w="40" w:type="dxa"/>
              <w:left w:w="40" w:type="dxa"/>
              <w:bottom w:w="40" w:type="dxa"/>
              <w:right w:w="40" w:type="dxa"/>
            </w:tcMar>
            <w:vAlign w:val="center"/>
          </w:tcPr>
          <w:p w14:paraId="3750F74E" w14:textId="77777777" w:rsidR="002541AD" w:rsidRDefault="00901AA6">
            <w:pPr>
              <w:jc w:val="center"/>
              <w:textAlignment w:val="center"/>
              <w:rPr>
                <w:rFonts w:ascii="Times New Roman" w:hAnsi="Times New Roman"/>
                <w:sz w:val="18"/>
                <w:szCs w:val="18"/>
              </w:rPr>
            </w:pPr>
            <w:r>
              <w:rPr>
                <w:rFonts w:ascii="Arial" w:eastAsia="宋体" w:hAnsi="Arial" w:cs="Arial"/>
                <w:color w:val="333333"/>
                <w:sz w:val="18"/>
                <w:szCs w:val="18"/>
              </w:rPr>
              <w:t>(a)</w:t>
            </w:r>
          </w:p>
        </w:tc>
      </w:tr>
      <w:tr w:rsidR="002541AD" w14:paraId="3750F753" w14:textId="77777777">
        <w:tc>
          <w:tcPr>
            <w:tcW w:w="0" w:type="auto"/>
            <w:shd w:val="clear" w:color="auto" w:fill="auto"/>
            <w:tcMar>
              <w:top w:w="40" w:type="dxa"/>
              <w:left w:w="40" w:type="dxa"/>
              <w:bottom w:w="40" w:type="dxa"/>
              <w:right w:w="40" w:type="dxa"/>
            </w:tcMar>
            <w:vAlign w:val="bottom"/>
          </w:tcPr>
          <w:p w14:paraId="3750F75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0" w:type="dxa"/>
              <w:bottom w:w="40" w:type="dxa"/>
              <w:right w:w="40" w:type="dxa"/>
            </w:tcMar>
            <w:vAlign w:val="bottom"/>
          </w:tcPr>
          <w:p w14:paraId="3750F751"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Contractual obligations</w:t>
            </w:r>
          </w:p>
        </w:tc>
        <w:tc>
          <w:tcPr>
            <w:tcW w:w="0" w:type="auto"/>
            <w:shd w:val="clear" w:color="auto" w:fill="auto"/>
            <w:tcMar>
              <w:top w:w="40" w:type="dxa"/>
              <w:left w:w="40" w:type="dxa"/>
              <w:bottom w:w="40" w:type="dxa"/>
              <w:right w:w="40" w:type="dxa"/>
            </w:tcMar>
            <w:vAlign w:val="center"/>
          </w:tcPr>
          <w:p w14:paraId="3750F752" w14:textId="77777777" w:rsidR="002541AD" w:rsidRDefault="00901AA6">
            <w:pPr>
              <w:jc w:val="center"/>
              <w:textAlignment w:val="center"/>
              <w:rPr>
                <w:rFonts w:ascii="Times New Roman" w:hAnsi="Times New Roman"/>
                <w:sz w:val="18"/>
                <w:szCs w:val="18"/>
              </w:rPr>
            </w:pPr>
            <w:r>
              <w:rPr>
                <w:rFonts w:ascii="Arial" w:eastAsia="宋体" w:hAnsi="Arial" w:cs="Arial"/>
                <w:color w:val="333333"/>
                <w:sz w:val="18"/>
                <w:szCs w:val="18"/>
              </w:rPr>
              <w:t xml:space="preserve">Page </w:t>
            </w:r>
            <w:hyperlink r:id="rId93" w:anchor="sE5F9FE824CD350629819D84CE9698E50" w:history="1">
              <w:r>
                <w:rPr>
                  <w:rStyle w:val="a5"/>
                  <w:rFonts w:ascii="Arial" w:eastAsia="宋体" w:hAnsi="Arial" w:cs="Arial"/>
                  <w:sz w:val="18"/>
                  <w:szCs w:val="18"/>
                </w:rPr>
                <w:t>37</w:t>
              </w:r>
            </w:hyperlink>
          </w:p>
        </w:tc>
      </w:tr>
      <w:tr w:rsidR="002541AD" w14:paraId="3750F757" w14:textId="77777777">
        <w:tc>
          <w:tcPr>
            <w:tcW w:w="0" w:type="auto"/>
            <w:shd w:val="clear" w:color="auto" w:fill="auto"/>
            <w:tcMar>
              <w:top w:w="40" w:type="dxa"/>
              <w:left w:w="40" w:type="dxa"/>
              <w:bottom w:w="40" w:type="dxa"/>
              <w:right w:w="40" w:type="dxa"/>
            </w:tcMar>
            <w:vAlign w:val="bottom"/>
          </w:tcPr>
          <w:p w14:paraId="3750F754"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Item 3.</w:t>
            </w:r>
          </w:p>
        </w:tc>
        <w:tc>
          <w:tcPr>
            <w:tcW w:w="0" w:type="auto"/>
            <w:shd w:val="clear" w:color="auto" w:fill="auto"/>
            <w:tcMar>
              <w:top w:w="40" w:type="dxa"/>
              <w:left w:w="40" w:type="dxa"/>
              <w:bottom w:w="40" w:type="dxa"/>
              <w:right w:w="40" w:type="dxa"/>
            </w:tcMar>
            <w:vAlign w:val="bottom"/>
          </w:tcPr>
          <w:p w14:paraId="3750F755"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Quantitative and Qualitative Disclosures About Market Risk</w:t>
            </w:r>
          </w:p>
        </w:tc>
        <w:tc>
          <w:tcPr>
            <w:tcW w:w="0" w:type="auto"/>
            <w:shd w:val="clear" w:color="auto" w:fill="auto"/>
            <w:tcMar>
              <w:top w:w="40" w:type="dxa"/>
              <w:left w:w="40" w:type="dxa"/>
              <w:bottom w:w="40" w:type="dxa"/>
              <w:right w:w="40" w:type="dxa"/>
            </w:tcMar>
            <w:vAlign w:val="center"/>
          </w:tcPr>
          <w:p w14:paraId="3750F756" w14:textId="77777777" w:rsidR="002541AD" w:rsidRDefault="00901AA6">
            <w:pPr>
              <w:jc w:val="center"/>
              <w:textAlignment w:val="center"/>
              <w:rPr>
                <w:rFonts w:ascii="Times New Roman" w:hAnsi="Times New Roman"/>
                <w:sz w:val="18"/>
                <w:szCs w:val="18"/>
              </w:rPr>
            </w:pPr>
            <w:r>
              <w:rPr>
                <w:rFonts w:ascii="Arial" w:eastAsia="宋体" w:hAnsi="Arial" w:cs="Arial"/>
                <w:color w:val="333333"/>
                <w:sz w:val="18"/>
                <w:szCs w:val="18"/>
              </w:rPr>
              <w:t xml:space="preserve">Page </w:t>
            </w:r>
            <w:hyperlink r:id="rId94" w:anchor="s9FEC776597E85805B42CDA82C9A74D61" w:history="1">
              <w:r>
                <w:rPr>
                  <w:rStyle w:val="a5"/>
                  <w:rFonts w:ascii="Arial" w:eastAsia="宋体" w:hAnsi="Arial" w:cs="Arial"/>
                  <w:sz w:val="18"/>
                  <w:szCs w:val="18"/>
                </w:rPr>
                <w:t>37</w:t>
              </w:r>
            </w:hyperlink>
          </w:p>
        </w:tc>
      </w:tr>
      <w:tr w:rsidR="002541AD" w14:paraId="3750F75B" w14:textId="77777777">
        <w:tc>
          <w:tcPr>
            <w:tcW w:w="0" w:type="auto"/>
            <w:shd w:val="clear" w:color="auto" w:fill="auto"/>
            <w:tcMar>
              <w:top w:w="40" w:type="dxa"/>
              <w:left w:w="40" w:type="dxa"/>
              <w:bottom w:w="40" w:type="dxa"/>
              <w:right w:w="40" w:type="dxa"/>
            </w:tcMar>
            <w:vAlign w:val="bottom"/>
          </w:tcPr>
          <w:p w14:paraId="3750F758"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Item 4.</w:t>
            </w:r>
          </w:p>
        </w:tc>
        <w:tc>
          <w:tcPr>
            <w:tcW w:w="0" w:type="auto"/>
            <w:shd w:val="clear" w:color="auto" w:fill="auto"/>
            <w:tcMar>
              <w:top w:w="40" w:type="dxa"/>
              <w:left w:w="40" w:type="dxa"/>
              <w:bottom w:w="40" w:type="dxa"/>
              <w:right w:w="40" w:type="dxa"/>
            </w:tcMar>
            <w:vAlign w:val="bottom"/>
          </w:tcPr>
          <w:p w14:paraId="3750F759"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Controls and Procedures</w:t>
            </w:r>
          </w:p>
        </w:tc>
        <w:tc>
          <w:tcPr>
            <w:tcW w:w="0" w:type="auto"/>
            <w:shd w:val="clear" w:color="auto" w:fill="auto"/>
            <w:tcMar>
              <w:top w:w="40" w:type="dxa"/>
              <w:left w:w="40" w:type="dxa"/>
              <w:bottom w:w="40" w:type="dxa"/>
              <w:right w:w="40" w:type="dxa"/>
            </w:tcMar>
            <w:vAlign w:val="center"/>
          </w:tcPr>
          <w:p w14:paraId="3750F75A" w14:textId="77777777" w:rsidR="002541AD" w:rsidRDefault="00901AA6">
            <w:pPr>
              <w:jc w:val="center"/>
              <w:textAlignment w:val="center"/>
              <w:rPr>
                <w:rFonts w:ascii="Times New Roman" w:hAnsi="Times New Roman"/>
                <w:sz w:val="18"/>
                <w:szCs w:val="18"/>
              </w:rPr>
            </w:pPr>
            <w:r>
              <w:rPr>
                <w:rFonts w:ascii="Arial" w:eastAsia="宋体" w:hAnsi="Arial" w:cs="Arial"/>
                <w:color w:val="333333"/>
                <w:sz w:val="18"/>
                <w:szCs w:val="18"/>
              </w:rPr>
              <w:t xml:space="preserve">Page </w:t>
            </w:r>
            <w:hyperlink r:id="rId95" w:anchor="s7EC47362CA0E55D5AC578E423DA10D07" w:history="1">
              <w:r>
                <w:rPr>
                  <w:rStyle w:val="a5"/>
                  <w:rFonts w:ascii="Arial" w:eastAsia="宋体" w:hAnsi="Arial" w:cs="Arial"/>
                  <w:sz w:val="18"/>
                  <w:szCs w:val="18"/>
                </w:rPr>
                <w:t>43</w:t>
              </w:r>
            </w:hyperlink>
          </w:p>
        </w:tc>
      </w:tr>
      <w:tr w:rsidR="002541AD" w14:paraId="3750F75F" w14:textId="77777777">
        <w:tc>
          <w:tcPr>
            <w:tcW w:w="0" w:type="auto"/>
            <w:shd w:val="clear" w:color="auto" w:fill="auto"/>
            <w:tcMar>
              <w:top w:w="40" w:type="dxa"/>
              <w:left w:w="40" w:type="dxa"/>
              <w:bottom w:w="40" w:type="dxa"/>
              <w:right w:w="40" w:type="dxa"/>
            </w:tcMar>
            <w:vAlign w:val="bottom"/>
          </w:tcPr>
          <w:p w14:paraId="3750F75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F75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center"/>
          </w:tcPr>
          <w:p w14:paraId="3750F75E" w14:textId="77777777" w:rsidR="002541AD" w:rsidRDefault="00901AA6">
            <w:pPr>
              <w:jc w:val="center"/>
              <w:textAlignment w:val="center"/>
              <w:rPr>
                <w:rFonts w:ascii="Times New Roman" w:hAnsi="Times New Roman"/>
                <w:sz w:val="18"/>
                <w:szCs w:val="18"/>
              </w:rPr>
            </w:pPr>
            <w:r>
              <w:rPr>
                <w:rFonts w:ascii="Arial" w:eastAsia="宋体" w:hAnsi="Arial" w:cs="Arial"/>
                <w:b/>
                <w:bCs/>
                <w:color w:val="333333"/>
                <w:sz w:val="18"/>
                <w:szCs w:val="18"/>
              </w:rPr>
              <w:t> </w:t>
            </w:r>
          </w:p>
        </w:tc>
      </w:tr>
      <w:tr w:rsidR="002541AD" w14:paraId="3750F762" w14:textId="77777777">
        <w:tc>
          <w:tcPr>
            <w:tcW w:w="0" w:type="auto"/>
            <w:gridSpan w:val="2"/>
            <w:tcBorders>
              <w:top w:val="single" w:sz="8" w:space="0" w:color="0071C5"/>
            </w:tcBorders>
            <w:shd w:val="clear" w:color="auto" w:fill="auto"/>
            <w:tcMar>
              <w:top w:w="40" w:type="dxa"/>
              <w:left w:w="40" w:type="dxa"/>
              <w:bottom w:w="40" w:type="dxa"/>
              <w:right w:w="40" w:type="dxa"/>
            </w:tcMar>
            <w:vAlign w:val="bottom"/>
          </w:tcPr>
          <w:p w14:paraId="3750F760"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Part II - Other Information</w:t>
            </w:r>
          </w:p>
        </w:tc>
        <w:tc>
          <w:tcPr>
            <w:tcW w:w="0" w:type="auto"/>
            <w:shd w:val="clear" w:color="auto" w:fill="auto"/>
            <w:tcMar>
              <w:top w:w="40" w:type="dxa"/>
              <w:left w:w="40" w:type="dxa"/>
              <w:bottom w:w="40" w:type="dxa"/>
              <w:right w:w="40" w:type="dxa"/>
            </w:tcMar>
            <w:vAlign w:val="bottom"/>
          </w:tcPr>
          <w:p w14:paraId="3750F76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766" w14:textId="77777777">
        <w:tc>
          <w:tcPr>
            <w:tcW w:w="0" w:type="auto"/>
            <w:shd w:val="clear" w:color="auto" w:fill="auto"/>
            <w:tcMar>
              <w:top w:w="40" w:type="dxa"/>
              <w:left w:w="40" w:type="dxa"/>
              <w:bottom w:w="40" w:type="dxa"/>
              <w:right w:w="40" w:type="dxa"/>
            </w:tcMar>
            <w:vAlign w:val="bottom"/>
          </w:tcPr>
          <w:p w14:paraId="3750F763"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Item 1.</w:t>
            </w:r>
          </w:p>
        </w:tc>
        <w:tc>
          <w:tcPr>
            <w:tcW w:w="0" w:type="auto"/>
            <w:shd w:val="clear" w:color="auto" w:fill="auto"/>
            <w:tcMar>
              <w:top w:w="40" w:type="dxa"/>
              <w:left w:w="40" w:type="dxa"/>
              <w:bottom w:w="40" w:type="dxa"/>
              <w:right w:w="40" w:type="dxa"/>
            </w:tcMar>
            <w:vAlign w:val="bottom"/>
          </w:tcPr>
          <w:p w14:paraId="3750F764"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Legal Proceedings</w:t>
            </w:r>
          </w:p>
        </w:tc>
        <w:tc>
          <w:tcPr>
            <w:tcW w:w="0" w:type="auto"/>
            <w:shd w:val="clear" w:color="auto" w:fill="auto"/>
            <w:tcMar>
              <w:top w:w="40" w:type="dxa"/>
              <w:left w:w="40" w:type="dxa"/>
              <w:bottom w:w="40" w:type="dxa"/>
              <w:right w:w="40" w:type="dxa"/>
            </w:tcMar>
            <w:vAlign w:val="center"/>
          </w:tcPr>
          <w:p w14:paraId="3750F765" w14:textId="77777777" w:rsidR="002541AD" w:rsidRDefault="00901AA6">
            <w:pPr>
              <w:jc w:val="center"/>
              <w:textAlignment w:val="center"/>
              <w:rPr>
                <w:rFonts w:ascii="Times New Roman" w:hAnsi="Times New Roman"/>
                <w:sz w:val="18"/>
                <w:szCs w:val="18"/>
              </w:rPr>
            </w:pPr>
            <w:r>
              <w:rPr>
                <w:rFonts w:ascii="Arial" w:eastAsia="宋体" w:hAnsi="Arial" w:cs="Arial"/>
                <w:color w:val="333333"/>
                <w:sz w:val="18"/>
                <w:szCs w:val="18"/>
              </w:rPr>
              <w:t xml:space="preserve">Pages </w:t>
            </w:r>
            <w:hyperlink r:id="rId96" w:anchor="sC3706042375A514DAD5037B664D801F4" w:history="1">
              <w:r>
                <w:rPr>
                  <w:rStyle w:val="a5"/>
                  <w:rFonts w:ascii="Arial" w:eastAsia="宋体" w:hAnsi="Arial" w:cs="Arial"/>
                  <w:sz w:val="18"/>
                  <w:szCs w:val="18"/>
                </w:rPr>
                <w:t>23</w:t>
              </w:r>
            </w:hyperlink>
            <w:r>
              <w:rPr>
                <w:rFonts w:ascii="Arial" w:eastAsia="宋体" w:hAnsi="Arial" w:cs="Arial"/>
                <w:color w:val="333333"/>
                <w:sz w:val="18"/>
                <w:szCs w:val="18"/>
              </w:rPr>
              <w:t xml:space="preserve"> - </w:t>
            </w:r>
            <w:hyperlink r:id="rId97" w:anchor="s1a8ef4f0b6d04ac3bbad4cd062074865" w:history="1">
              <w:r>
                <w:rPr>
                  <w:rStyle w:val="a5"/>
                  <w:rFonts w:ascii="Arial" w:eastAsia="宋体" w:hAnsi="Arial" w:cs="Arial"/>
                  <w:sz w:val="18"/>
                  <w:szCs w:val="18"/>
                </w:rPr>
                <w:t>25</w:t>
              </w:r>
            </w:hyperlink>
          </w:p>
        </w:tc>
      </w:tr>
      <w:tr w:rsidR="002541AD" w14:paraId="3750F76A" w14:textId="77777777">
        <w:tc>
          <w:tcPr>
            <w:tcW w:w="0" w:type="auto"/>
            <w:shd w:val="clear" w:color="auto" w:fill="auto"/>
            <w:tcMar>
              <w:top w:w="40" w:type="dxa"/>
              <w:left w:w="40" w:type="dxa"/>
              <w:bottom w:w="40" w:type="dxa"/>
              <w:right w:w="40" w:type="dxa"/>
            </w:tcMar>
            <w:vAlign w:val="bottom"/>
          </w:tcPr>
          <w:p w14:paraId="3750F767"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Item 1A.</w:t>
            </w:r>
          </w:p>
        </w:tc>
        <w:tc>
          <w:tcPr>
            <w:tcW w:w="0" w:type="auto"/>
            <w:shd w:val="clear" w:color="auto" w:fill="auto"/>
            <w:tcMar>
              <w:top w:w="40" w:type="dxa"/>
              <w:left w:w="40" w:type="dxa"/>
              <w:bottom w:w="40" w:type="dxa"/>
              <w:right w:w="40" w:type="dxa"/>
            </w:tcMar>
            <w:vAlign w:val="bottom"/>
          </w:tcPr>
          <w:p w14:paraId="3750F768"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Risk Factors</w:t>
            </w:r>
          </w:p>
        </w:tc>
        <w:tc>
          <w:tcPr>
            <w:tcW w:w="0" w:type="auto"/>
            <w:shd w:val="clear" w:color="auto" w:fill="auto"/>
            <w:tcMar>
              <w:top w:w="40" w:type="dxa"/>
              <w:left w:w="40" w:type="dxa"/>
              <w:bottom w:w="40" w:type="dxa"/>
              <w:right w:w="40" w:type="dxa"/>
            </w:tcMar>
            <w:vAlign w:val="center"/>
          </w:tcPr>
          <w:p w14:paraId="3750F769" w14:textId="77777777" w:rsidR="002541AD" w:rsidRDefault="00901AA6">
            <w:pPr>
              <w:jc w:val="center"/>
              <w:textAlignment w:val="center"/>
              <w:rPr>
                <w:rFonts w:ascii="Times New Roman" w:hAnsi="Times New Roman"/>
                <w:sz w:val="18"/>
                <w:szCs w:val="18"/>
              </w:rPr>
            </w:pPr>
            <w:r>
              <w:rPr>
                <w:rFonts w:ascii="Arial" w:eastAsia="宋体" w:hAnsi="Arial" w:cs="Arial"/>
                <w:color w:val="333333"/>
                <w:sz w:val="18"/>
                <w:szCs w:val="18"/>
              </w:rPr>
              <w:t xml:space="preserve">Pages </w:t>
            </w:r>
            <w:hyperlink r:id="rId98" w:anchor="sF77ED456DC7751F782AE7AE2DD56067D" w:history="1">
              <w:r>
                <w:rPr>
                  <w:rStyle w:val="a5"/>
                  <w:rFonts w:ascii="Arial" w:eastAsia="宋体" w:hAnsi="Arial" w:cs="Arial"/>
                  <w:sz w:val="18"/>
                  <w:szCs w:val="18"/>
                </w:rPr>
                <w:t>40</w:t>
              </w:r>
            </w:hyperlink>
            <w:r>
              <w:rPr>
                <w:rFonts w:ascii="Arial" w:eastAsia="宋体" w:hAnsi="Arial" w:cs="Arial"/>
                <w:color w:val="333333"/>
                <w:sz w:val="18"/>
                <w:szCs w:val="18"/>
              </w:rPr>
              <w:t xml:space="preserve"> - </w:t>
            </w:r>
            <w:hyperlink r:id="rId99" w:anchor="sd702ba47ab40448498e9a52e683d91e9" w:history="1">
              <w:r>
                <w:rPr>
                  <w:rStyle w:val="a5"/>
                  <w:rFonts w:ascii="Arial" w:eastAsia="宋体" w:hAnsi="Arial" w:cs="Arial"/>
                  <w:sz w:val="18"/>
                  <w:szCs w:val="18"/>
                </w:rPr>
                <w:t>42</w:t>
              </w:r>
            </w:hyperlink>
          </w:p>
        </w:tc>
      </w:tr>
      <w:tr w:rsidR="002541AD" w14:paraId="3750F76E" w14:textId="77777777">
        <w:tc>
          <w:tcPr>
            <w:tcW w:w="0" w:type="auto"/>
            <w:shd w:val="clear" w:color="auto" w:fill="auto"/>
            <w:tcMar>
              <w:top w:w="40" w:type="dxa"/>
              <w:left w:w="40" w:type="dxa"/>
              <w:bottom w:w="40" w:type="dxa"/>
              <w:right w:w="40" w:type="dxa"/>
            </w:tcMar>
            <w:vAlign w:val="bottom"/>
          </w:tcPr>
          <w:p w14:paraId="3750F76B"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Item 2.</w:t>
            </w:r>
          </w:p>
        </w:tc>
        <w:tc>
          <w:tcPr>
            <w:tcW w:w="0" w:type="auto"/>
            <w:shd w:val="clear" w:color="auto" w:fill="auto"/>
            <w:tcMar>
              <w:top w:w="40" w:type="dxa"/>
              <w:left w:w="40" w:type="dxa"/>
              <w:bottom w:w="40" w:type="dxa"/>
              <w:right w:w="40" w:type="dxa"/>
            </w:tcMar>
            <w:vAlign w:val="bottom"/>
          </w:tcPr>
          <w:p w14:paraId="3750F76C"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Unregistered Sales of Equity Securities and Use of Proceeds</w:t>
            </w:r>
          </w:p>
        </w:tc>
        <w:tc>
          <w:tcPr>
            <w:tcW w:w="0" w:type="auto"/>
            <w:shd w:val="clear" w:color="auto" w:fill="auto"/>
            <w:tcMar>
              <w:top w:w="40" w:type="dxa"/>
              <w:left w:w="40" w:type="dxa"/>
              <w:bottom w:w="40" w:type="dxa"/>
              <w:right w:w="40" w:type="dxa"/>
            </w:tcMar>
            <w:vAlign w:val="center"/>
          </w:tcPr>
          <w:p w14:paraId="3750F76D" w14:textId="77777777" w:rsidR="002541AD" w:rsidRDefault="00901AA6">
            <w:pPr>
              <w:jc w:val="center"/>
              <w:textAlignment w:val="center"/>
              <w:rPr>
                <w:rFonts w:ascii="Times New Roman" w:hAnsi="Times New Roman"/>
                <w:sz w:val="18"/>
                <w:szCs w:val="18"/>
              </w:rPr>
            </w:pPr>
            <w:r>
              <w:rPr>
                <w:rFonts w:ascii="Arial" w:eastAsia="宋体" w:hAnsi="Arial" w:cs="Arial"/>
                <w:color w:val="333333"/>
                <w:sz w:val="18"/>
                <w:szCs w:val="18"/>
              </w:rPr>
              <w:t xml:space="preserve">Page </w:t>
            </w:r>
            <w:hyperlink r:id="rId100" w:anchor="s80263084DF1E5C2299ABB7421BA12B25" w:history="1">
              <w:r>
                <w:rPr>
                  <w:rStyle w:val="a5"/>
                  <w:rFonts w:ascii="Arial" w:eastAsia="宋体" w:hAnsi="Arial" w:cs="Arial"/>
                  <w:sz w:val="18"/>
                  <w:szCs w:val="18"/>
                </w:rPr>
                <w:t>43</w:t>
              </w:r>
            </w:hyperlink>
          </w:p>
        </w:tc>
      </w:tr>
      <w:tr w:rsidR="002541AD" w14:paraId="3750F772" w14:textId="77777777">
        <w:tc>
          <w:tcPr>
            <w:tcW w:w="0" w:type="auto"/>
            <w:shd w:val="clear" w:color="auto" w:fill="auto"/>
            <w:tcMar>
              <w:top w:w="40" w:type="dxa"/>
              <w:left w:w="40" w:type="dxa"/>
              <w:bottom w:w="40" w:type="dxa"/>
              <w:right w:w="40" w:type="dxa"/>
            </w:tcMar>
            <w:vAlign w:val="bottom"/>
          </w:tcPr>
          <w:p w14:paraId="3750F76F"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Item 3.</w:t>
            </w:r>
          </w:p>
        </w:tc>
        <w:tc>
          <w:tcPr>
            <w:tcW w:w="0" w:type="auto"/>
            <w:shd w:val="clear" w:color="auto" w:fill="auto"/>
            <w:tcMar>
              <w:top w:w="40" w:type="dxa"/>
              <w:left w:w="40" w:type="dxa"/>
              <w:bottom w:w="40" w:type="dxa"/>
              <w:right w:w="40" w:type="dxa"/>
            </w:tcMar>
            <w:vAlign w:val="bottom"/>
          </w:tcPr>
          <w:p w14:paraId="3750F770"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Defaults Upon Senior Securities</w:t>
            </w:r>
          </w:p>
        </w:tc>
        <w:tc>
          <w:tcPr>
            <w:tcW w:w="0" w:type="auto"/>
            <w:shd w:val="clear" w:color="auto" w:fill="auto"/>
            <w:tcMar>
              <w:top w:w="40" w:type="dxa"/>
              <w:left w:w="40" w:type="dxa"/>
              <w:bottom w:w="40" w:type="dxa"/>
              <w:right w:w="40" w:type="dxa"/>
            </w:tcMar>
            <w:vAlign w:val="center"/>
          </w:tcPr>
          <w:p w14:paraId="3750F771" w14:textId="77777777" w:rsidR="002541AD" w:rsidRDefault="00901AA6">
            <w:pPr>
              <w:jc w:val="center"/>
              <w:textAlignment w:val="center"/>
              <w:rPr>
                <w:rFonts w:ascii="Times New Roman" w:hAnsi="Times New Roman"/>
                <w:sz w:val="18"/>
                <w:szCs w:val="18"/>
              </w:rPr>
            </w:pPr>
            <w:r>
              <w:rPr>
                <w:rFonts w:ascii="Arial" w:eastAsia="宋体" w:hAnsi="Arial" w:cs="Arial"/>
                <w:color w:val="333333"/>
                <w:sz w:val="18"/>
                <w:szCs w:val="18"/>
              </w:rPr>
              <w:t>Not applicable</w:t>
            </w:r>
          </w:p>
        </w:tc>
      </w:tr>
      <w:tr w:rsidR="002541AD" w14:paraId="3750F776" w14:textId="77777777">
        <w:tc>
          <w:tcPr>
            <w:tcW w:w="0" w:type="auto"/>
            <w:shd w:val="clear" w:color="auto" w:fill="auto"/>
            <w:tcMar>
              <w:top w:w="40" w:type="dxa"/>
              <w:left w:w="40" w:type="dxa"/>
              <w:bottom w:w="40" w:type="dxa"/>
              <w:right w:w="40" w:type="dxa"/>
            </w:tcMar>
            <w:vAlign w:val="bottom"/>
          </w:tcPr>
          <w:p w14:paraId="3750F773"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 xml:space="preserve">Item 4. </w:t>
            </w:r>
          </w:p>
        </w:tc>
        <w:tc>
          <w:tcPr>
            <w:tcW w:w="0" w:type="auto"/>
            <w:shd w:val="clear" w:color="auto" w:fill="auto"/>
            <w:tcMar>
              <w:top w:w="40" w:type="dxa"/>
              <w:left w:w="40" w:type="dxa"/>
              <w:bottom w:w="40" w:type="dxa"/>
              <w:right w:w="40" w:type="dxa"/>
            </w:tcMar>
            <w:vAlign w:val="bottom"/>
          </w:tcPr>
          <w:p w14:paraId="3750F774"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 xml:space="preserve">Mine Safety </w:t>
            </w:r>
            <w:r>
              <w:rPr>
                <w:rFonts w:ascii="Arial" w:eastAsia="宋体" w:hAnsi="Arial" w:cs="Arial"/>
                <w:b/>
                <w:bCs/>
                <w:color w:val="333333"/>
                <w:sz w:val="18"/>
                <w:szCs w:val="18"/>
              </w:rPr>
              <w:t>Disclosures</w:t>
            </w:r>
          </w:p>
        </w:tc>
        <w:tc>
          <w:tcPr>
            <w:tcW w:w="0" w:type="auto"/>
            <w:shd w:val="clear" w:color="auto" w:fill="auto"/>
            <w:tcMar>
              <w:top w:w="40" w:type="dxa"/>
              <w:left w:w="40" w:type="dxa"/>
              <w:bottom w:w="40" w:type="dxa"/>
              <w:right w:w="40" w:type="dxa"/>
            </w:tcMar>
            <w:vAlign w:val="center"/>
          </w:tcPr>
          <w:p w14:paraId="3750F775" w14:textId="77777777" w:rsidR="002541AD" w:rsidRDefault="00901AA6">
            <w:pPr>
              <w:jc w:val="center"/>
              <w:textAlignment w:val="center"/>
              <w:rPr>
                <w:rFonts w:ascii="Times New Roman" w:hAnsi="Times New Roman"/>
                <w:sz w:val="18"/>
                <w:szCs w:val="18"/>
              </w:rPr>
            </w:pPr>
            <w:r>
              <w:rPr>
                <w:rFonts w:ascii="Arial" w:eastAsia="宋体" w:hAnsi="Arial" w:cs="Arial"/>
                <w:color w:val="333333"/>
                <w:sz w:val="18"/>
                <w:szCs w:val="18"/>
              </w:rPr>
              <w:t>Not applicable</w:t>
            </w:r>
          </w:p>
        </w:tc>
      </w:tr>
      <w:tr w:rsidR="002541AD" w14:paraId="3750F77A" w14:textId="77777777">
        <w:tc>
          <w:tcPr>
            <w:tcW w:w="0" w:type="auto"/>
            <w:shd w:val="clear" w:color="auto" w:fill="auto"/>
            <w:tcMar>
              <w:top w:w="40" w:type="dxa"/>
              <w:left w:w="40" w:type="dxa"/>
              <w:bottom w:w="40" w:type="dxa"/>
              <w:right w:w="40" w:type="dxa"/>
            </w:tcMar>
            <w:vAlign w:val="bottom"/>
          </w:tcPr>
          <w:p w14:paraId="3750F777"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 xml:space="preserve">Item 5. </w:t>
            </w:r>
          </w:p>
        </w:tc>
        <w:tc>
          <w:tcPr>
            <w:tcW w:w="0" w:type="auto"/>
            <w:shd w:val="clear" w:color="auto" w:fill="auto"/>
            <w:tcMar>
              <w:top w:w="40" w:type="dxa"/>
              <w:left w:w="40" w:type="dxa"/>
              <w:bottom w:w="40" w:type="dxa"/>
              <w:right w:w="40" w:type="dxa"/>
            </w:tcMar>
            <w:vAlign w:val="bottom"/>
          </w:tcPr>
          <w:p w14:paraId="3750F778"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Other Information</w:t>
            </w:r>
          </w:p>
        </w:tc>
        <w:tc>
          <w:tcPr>
            <w:tcW w:w="0" w:type="auto"/>
            <w:shd w:val="clear" w:color="auto" w:fill="auto"/>
            <w:tcMar>
              <w:top w:w="40" w:type="dxa"/>
              <w:left w:w="40" w:type="dxa"/>
              <w:bottom w:w="40" w:type="dxa"/>
              <w:right w:w="40" w:type="dxa"/>
            </w:tcMar>
            <w:vAlign w:val="center"/>
          </w:tcPr>
          <w:p w14:paraId="3750F779" w14:textId="77777777" w:rsidR="002541AD" w:rsidRDefault="00901AA6">
            <w:pPr>
              <w:jc w:val="center"/>
              <w:textAlignment w:val="center"/>
              <w:rPr>
                <w:rFonts w:ascii="Times New Roman" w:hAnsi="Times New Roman"/>
                <w:sz w:val="18"/>
                <w:szCs w:val="18"/>
              </w:rPr>
            </w:pPr>
            <w:r>
              <w:rPr>
                <w:rFonts w:ascii="Arial" w:eastAsia="宋体" w:hAnsi="Arial" w:cs="Arial"/>
                <w:color w:val="333333"/>
                <w:sz w:val="18"/>
                <w:szCs w:val="18"/>
              </w:rPr>
              <w:t>Not applicable</w:t>
            </w:r>
          </w:p>
        </w:tc>
      </w:tr>
      <w:tr w:rsidR="002541AD" w14:paraId="3750F77E" w14:textId="77777777">
        <w:tc>
          <w:tcPr>
            <w:tcW w:w="0" w:type="auto"/>
            <w:shd w:val="clear" w:color="auto" w:fill="auto"/>
            <w:tcMar>
              <w:top w:w="40" w:type="dxa"/>
              <w:left w:w="40" w:type="dxa"/>
              <w:bottom w:w="40" w:type="dxa"/>
              <w:right w:w="40" w:type="dxa"/>
            </w:tcMar>
            <w:vAlign w:val="bottom"/>
          </w:tcPr>
          <w:p w14:paraId="3750F77B"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Item 6.</w:t>
            </w:r>
          </w:p>
        </w:tc>
        <w:tc>
          <w:tcPr>
            <w:tcW w:w="0" w:type="auto"/>
            <w:shd w:val="clear" w:color="auto" w:fill="auto"/>
            <w:tcMar>
              <w:top w:w="40" w:type="dxa"/>
              <w:left w:w="40" w:type="dxa"/>
              <w:bottom w:w="40" w:type="dxa"/>
              <w:right w:w="40" w:type="dxa"/>
            </w:tcMar>
            <w:vAlign w:val="bottom"/>
          </w:tcPr>
          <w:p w14:paraId="3750F77C" w14:textId="77777777" w:rsidR="002541AD" w:rsidRDefault="00901AA6">
            <w:pPr>
              <w:textAlignment w:val="bottom"/>
              <w:rPr>
                <w:rFonts w:ascii="Times New Roman" w:hAnsi="Times New Roman"/>
                <w:sz w:val="18"/>
                <w:szCs w:val="18"/>
              </w:rPr>
            </w:pPr>
            <w:r>
              <w:rPr>
                <w:rFonts w:ascii="Arial" w:eastAsia="宋体" w:hAnsi="Arial" w:cs="Arial"/>
                <w:b/>
                <w:bCs/>
                <w:color w:val="333333"/>
                <w:sz w:val="18"/>
                <w:szCs w:val="18"/>
              </w:rPr>
              <w:t>Exhibits</w:t>
            </w:r>
          </w:p>
        </w:tc>
        <w:tc>
          <w:tcPr>
            <w:tcW w:w="0" w:type="auto"/>
            <w:shd w:val="clear" w:color="auto" w:fill="auto"/>
            <w:tcMar>
              <w:top w:w="40" w:type="dxa"/>
              <w:left w:w="40" w:type="dxa"/>
              <w:bottom w:w="40" w:type="dxa"/>
              <w:right w:w="40" w:type="dxa"/>
            </w:tcMar>
            <w:vAlign w:val="center"/>
          </w:tcPr>
          <w:p w14:paraId="3750F77D" w14:textId="77777777" w:rsidR="002541AD" w:rsidRDefault="00901AA6">
            <w:pPr>
              <w:jc w:val="center"/>
              <w:textAlignment w:val="center"/>
              <w:rPr>
                <w:rFonts w:ascii="Times New Roman" w:hAnsi="Times New Roman"/>
                <w:sz w:val="18"/>
                <w:szCs w:val="18"/>
              </w:rPr>
            </w:pPr>
            <w:r>
              <w:rPr>
                <w:rFonts w:ascii="Arial" w:eastAsia="宋体" w:hAnsi="Arial" w:cs="Arial"/>
                <w:color w:val="333333"/>
                <w:sz w:val="18"/>
                <w:szCs w:val="18"/>
              </w:rPr>
              <w:t xml:space="preserve">Page </w:t>
            </w:r>
            <w:hyperlink r:id="rId101" w:anchor="s13729CF818475C44B3A3C9399F4EED64" w:history="1">
              <w:r>
                <w:rPr>
                  <w:rStyle w:val="a5"/>
                  <w:rFonts w:ascii="Arial" w:eastAsia="宋体" w:hAnsi="Arial" w:cs="Arial"/>
                  <w:sz w:val="18"/>
                  <w:szCs w:val="18"/>
                </w:rPr>
                <w:t>44</w:t>
              </w:r>
            </w:hyperlink>
            <w:r>
              <w:rPr>
                <w:rFonts w:ascii="Arial" w:eastAsia="宋体" w:hAnsi="Arial" w:cs="Arial"/>
                <w:color w:val="333333"/>
                <w:sz w:val="18"/>
                <w:szCs w:val="18"/>
              </w:rPr>
              <w:t> </w:t>
            </w:r>
          </w:p>
        </w:tc>
      </w:tr>
      <w:tr w:rsidR="002541AD" w14:paraId="3750F782" w14:textId="77777777">
        <w:tc>
          <w:tcPr>
            <w:tcW w:w="0" w:type="auto"/>
            <w:shd w:val="clear" w:color="auto" w:fill="auto"/>
            <w:tcMar>
              <w:top w:w="40" w:type="dxa"/>
              <w:left w:w="40" w:type="dxa"/>
              <w:bottom w:w="40" w:type="dxa"/>
              <w:right w:w="40" w:type="dxa"/>
            </w:tcMar>
            <w:vAlign w:val="bottom"/>
          </w:tcPr>
          <w:p w14:paraId="3750F77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8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8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786" w14:textId="77777777">
        <w:tc>
          <w:tcPr>
            <w:tcW w:w="0" w:type="auto"/>
            <w:tcBorders>
              <w:bottom w:val="single" w:sz="8" w:space="0" w:color="0071C5"/>
            </w:tcBorders>
            <w:shd w:val="clear" w:color="auto" w:fill="auto"/>
            <w:tcMar>
              <w:top w:w="40" w:type="dxa"/>
              <w:left w:w="40" w:type="dxa"/>
              <w:bottom w:w="40" w:type="dxa"/>
              <w:right w:w="40" w:type="dxa"/>
            </w:tcMar>
            <w:vAlign w:val="bottom"/>
          </w:tcPr>
          <w:p w14:paraId="3750F783" w14:textId="77777777" w:rsidR="002541AD" w:rsidRDefault="00901AA6">
            <w:pPr>
              <w:textAlignment w:val="bottom"/>
              <w:rPr>
                <w:rFonts w:ascii="Times New Roman" w:hAnsi="Times New Roman"/>
                <w:sz w:val="18"/>
                <w:szCs w:val="18"/>
              </w:rPr>
            </w:pPr>
            <w:r>
              <w:rPr>
                <w:rFonts w:ascii="Arial" w:eastAsia="宋体" w:hAnsi="Arial" w:cs="Arial"/>
                <w:b/>
                <w:bCs/>
                <w:color w:val="0071C5"/>
                <w:sz w:val="18"/>
                <w:szCs w:val="18"/>
              </w:rPr>
              <w:t>Signatures</w:t>
            </w:r>
          </w:p>
        </w:tc>
        <w:tc>
          <w:tcPr>
            <w:tcW w:w="0" w:type="auto"/>
            <w:tcBorders>
              <w:bottom w:val="single" w:sz="8" w:space="0" w:color="0071C5"/>
            </w:tcBorders>
            <w:shd w:val="clear" w:color="auto" w:fill="auto"/>
            <w:tcMar>
              <w:top w:w="40" w:type="dxa"/>
              <w:left w:w="40" w:type="dxa"/>
              <w:bottom w:w="40" w:type="dxa"/>
              <w:right w:w="40" w:type="dxa"/>
            </w:tcMar>
            <w:vAlign w:val="bottom"/>
          </w:tcPr>
          <w:p w14:paraId="3750F78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71C5"/>
            </w:tcBorders>
            <w:shd w:val="clear" w:color="auto" w:fill="auto"/>
            <w:tcMar>
              <w:top w:w="40" w:type="dxa"/>
              <w:left w:w="40" w:type="dxa"/>
              <w:bottom w:w="40" w:type="dxa"/>
              <w:right w:w="40" w:type="dxa"/>
            </w:tcMar>
            <w:vAlign w:val="center"/>
          </w:tcPr>
          <w:p w14:paraId="3750F785" w14:textId="77777777" w:rsidR="002541AD" w:rsidRDefault="00901AA6">
            <w:pPr>
              <w:jc w:val="center"/>
              <w:textAlignment w:val="center"/>
              <w:rPr>
                <w:rFonts w:ascii="Times New Roman" w:hAnsi="Times New Roman"/>
                <w:sz w:val="18"/>
                <w:szCs w:val="18"/>
              </w:rPr>
            </w:pPr>
            <w:r>
              <w:rPr>
                <w:rFonts w:ascii="Arial" w:eastAsia="宋体" w:hAnsi="Arial" w:cs="Arial"/>
                <w:color w:val="333333"/>
                <w:sz w:val="18"/>
                <w:szCs w:val="18"/>
              </w:rPr>
              <w:t xml:space="preserve">Page </w:t>
            </w:r>
            <w:hyperlink r:id="rId102" w:anchor="sEFB5AA3110E758AE9F9F72221A44430F" w:history="1">
              <w:r>
                <w:rPr>
                  <w:rStyle w:val="a5"/>
                  <w:rFonts w:ascii="Arial" w:eastAsia="宋体" w:hAnsi="Arial" w:cs="Arial"/>
                  <w:sz w:val="18"/>
                  <w:szCs w:val="18"/>
                </w:rPr>
                <w:t>46</w:t>
              </w:r>
            </w:hyperlink>
          </w:p>
        </w:tc>
      </w:tr>
    </w:tbl>
    <w:p w14:paraId="3750F787" w14:textId="77777777" w:rsidR="002541AD" w:rsidRDefault="002541AD">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2541AD" w14:paraId="3750F78A" w14:textId="77777777">
        <w:trPr>
          <w:tblCellSpacing w:w="0" w:type="dxa"/>
        </w:trPr>
        <w:tc>
          <w:tcPr>
            <w:tcW w:w="720" w:type="dxa"/>
            <w:shd w:val="clear" w:color="auto" w:fill="auto"/>
            <w:vAlign w:val="center"/>
          </w:tcPr>
          <w:p w14:paraId="3750F788" w14:textId="77777777" w:rsidR="002541AD" w:rsidRDefault="002541AD">
            <w:pPr>
              <w:rPr>
                <w:rFonts w:ascii="Times New Roman" w:hAnsi="Times New Roman"/>
                <w:sz w:val="20"/>
                <w:szCs w:val="20"/>
              </w:rPr>
            </w:pPr>
          </w:p>
        </w:tc>
        <w:tc>
          <w:tcPr>
            <w:tcW w:w="0" w:type="auto"/>
            <w:shd w:val="clear" w:color="auto" w:fill="auto"/>
            <w:vAlign w:val="center"/>
          </w:tcPr>
          <w:p w14:paraId="3750F789" w14:textId="77777777" w:rsidR="002541AD" w:rsidRDefault="002541AD">
            <w:pPr>
              <w:rPr>
                <w:rFonts w:ascii="Times New Roman" w:hAnsi="Times New Roman"/>
                <w:sz w:val="20"/>
                <w:szCs w:val="20"/>
              </w:rPr>
            </w:pPr>
          </w:p>
        </w:tc>
      </w:tr>
      <w:tr w:rsidR="002541AD" w14:paraId="3750F78D" w14:textId="77777777">
        <w:trPr>
          <w:tblCellSpacing w:w="0" w:type="dxa"/>
        </w:trPr>
        <w:tc>
          <w:tcPr>
            <w:tcW w:w="0" w:type="auto"/>
            <w:shd w:val="clear" w:color="auto" w:fill="auto"/>
          </w:tcPr>
          <w:p w14:paraId="3750F78B"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6"/>
                <w:szCs w:val="16"/>
              </w:rPr>
              <w:t>(a)</w:t>
            </w:r>
          </w:p>
        </w:tc>
        <w:tc>
          <w:tcPr>
            <w:tcW w:w="0" w:type="auto"/>
            <w:shd w:val="clear" w:color="auto" w:fill="auto"/>
          </w:tcPr>
          <w:p w14:paraId="3750F78C" w14:textId="77777777" w:rsidR="002541AD" w:rsidRDefault="00901AA6">
            <w:pPr>
              <w:spacing w:line="288" w:lineRule="auto"/>
              <w:textAlignment w:val="top"/>
              <w:rPr>
                <w:rFonts w:ascii="Times New Roman" w:hAnsi="Times New Roman"/>
                <w:sz w:val="16"/>
                <w:szCs w:val="16"/>
              </w:rPr>
            </w:pPr>
            <w:r>
              <w:rPr>
                <w:rFonts w:ascii="Arial" w:eastAsia="宋体" w:hAnsi="Arial" w:cs="Arial"/>
                <w:i/>
                <w:iCs/>
                <w:color w:val="333333"/>
                <w:sz w:val="16"/>
                <w:szCs w:val="16"/>
              </w:rPr>
              <w:t xml:space="preserve">As of March 28, 2020, we did not have any significant off-balance sheet </w:t>
            </w:r>
            <w:r>
              <w:rPr>
                <w:rFonts w:ascii="Arial" w:eastAsia="宋体" w:hAnsi="Arial" w:cs="Arial"/>
                <w:i/>
                <w:iCs/>
                <w:color w:val="333333"/>
                <w:sz w:val="16"/>
                <w:szCs w:val="16"/>
              </w:rPr>
              <w:t>arrangements, as defined in Item 303(a)(4)(ii) of SEC Regulation S-K.</w:t>
            </w:r>
          </w:p>
        </w:tc>
      </w:tr>
    </w:tbl>
    <w:p w14:paraId="3750F78E" w14:textId="77777777" w:rsidR="002541AD" w:rsidRDefault="002541AD">
      <w:pPr>
        <w:spacing w:line="288" w:lineRule="auto"/>
        <w:ind w:hanging="480"/>
        <w:rPr>
          <w:rFonts w:ascii="Times New Roman" w:hAnsi="Times New Roman"/>
          <w:sz w:val="16"/>
          <w:szCs w:val="16"/>
        </w:rPr>
      </w:pPr>
    </w:p>
    <w:p w14:paraId="3750F78F"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4"/>
        <w:gridCol w:w="3655"/>
        <w:gridCol w:w="2077"/>
      </w:tblGrid>
      <w:tr w:rsidR="002541AD" w14:paraId="3750F791" w14:textId="77777777">
        <w:tc>
          <w:tcPr>
            <w:tcW w:w="0" w:type="auto"/>
            <w:gridSpan w:val="3"/>
            <w:shd w:val="clear" w:color="auto" w:fill="auto"/>
            <w:vAlign w:val="center"/>
          </w:tcPr>
          <w:p w14:paraId="3750F790" w14:textId="77777777" w:rsidR="002541AD" w:rsidRDefault="002541AD">
            <w:pPr>
              <w:rPr>
                <w:rFonts w:ascii="Times New Roman" w:hAnsi="Times New Roman"/>
                <w:sz w:val="20"/>
                <w:szCs w:val="20"/>
              </w:rPr>
            </w:pPr>
          </w:p>
        </w:tc>
      </w:tr>
      <w:tr w:rsidR="002541AD" w14:paraId="3750F795" w14:textId="77777777">
        <w:tc>
          <w:tcPr>
            <w:tcW w:w="1550" w:type="pct"/>
            <w:shd w:val="clear" w:color="auto" w:fill="auto"/>
            <w:vAlign w:val="center"/>
          </w:tcPr>
          <w:p w14:paraId="3750F792" w14:textId="77777777" w:rsidR="002541AD" w:rsidRDefault="002541AD">
            <w:pPr>
              <w:rPr>
                <w:rFonts w:ascii="Times New Roman" w:hAnsi="Times New Roman"/>
                <w:sz w:val="20"/>
                <w:szCs w:val="20"/>
              </w:rPr>
            </w:pPr>
          </w:p>
        </w:tc>
        <w:tc>
          <w:tcPr>
            <w:tcW w:w="2200" w:type="pct"/>
            <w:shd w:val="clear" w:color="auto" w:fill="auto"/>
            <w:vAlign w:val="center"/>
          </w:tcPr>
          <w:p w14:paraId="3750F793" w14:textId="77777777" w:rsidR="002541AD" w:rsidRDefault="002541AD">
            <w:pPr>
              <w:rPr>
                <w:rFonts w:ascii="Times New Roman" w:hAnsi="Times New Roman"/>
                <w:sz w:val="20"/>
                <w:szCs w:val="20"/>
              </w:rPr>
            </w:pPr>
          </w:p>
        </w:tc>
        <w:tc>
          <w:tcPr>
            <w:tcW w:w="1250" w:type="pct"/>
            <w:shd w:val="clear" w:color="auto" w:fill="auto"/>
            <w:vAlign w:val="center"/>
          </w:tcPr>
          <w:p w14:paraId="3750F794" w14:textId="77777777" w:rsidR="002541AD" w:rsidRDefault="002541AD">
            <w:pPr>
              <w:rPr>
                <w:rFonts w:ascii="Times New Roman" w:hAnsi="Times New Roman"/>
                <w:sz w:val="20"/>
                <w:szCs w:val="20"/>
              </w:rPr>
            </w:pPr>
          </w:p>
        </w:tc>
      </w:tr>
      <w:tr w:rsidR="002541AD" w14:paraId="3750F799"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F796"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E7" wp14:editId="3750F8E8">
                  <wp:extent cx="304800" cy="304800"/>
                  <wp:effectExtent l="0" t="0" r="0" b="0"/>
                  <wp:docPr id="84" name="图片 146"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46"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OTHER KEY INFORMATION</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79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798"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45</w:t>
            </w:r>
          </w:p>
        </w:tc>
      </w:tr>
    </w:tbl>
    <w:p w14:paraId="3750F79A" w14:textId="77777777" w:rsidR="002541AD" w:rsidRDefault="002541AD">
      <w:pPr>
        <w:spacing w:line="288" w:lineRule="auto"/>
        <w:rPr>
          <w:rFonts w:ascii="Times New Roman" w:hAnsi="Times New Roman"/>
          <w:sz w:val="18"/>
          <w:szCs w:val="18"/>
        </w:rPr>
      </w:pPr>
    </w:p>
    <w:p w14:paraId="3750F79B" w14:textId="77777777" w:rsidR="002541AD" w:rsidRDefault="00901AA6">
      <w:r>
        <w:rPr>
          <w:rFonts w:ascii="Times New Roman" w:hAnsi="Times New Roman"/>
          <w:sz w:val="18"/>
          <w:szCs w:val="18"/>
        </w:rPr>
        <w:pict w14:anchorId="3750F8E9">
          <v:rect id="_x0000_i1071" style="width:415.3pt;height:1.5pt" o:hralign="center" o:hrstd="t" o:hr="t" fillcolor="#a0a0a0" stroked="f"/>
        </w:pict>
      </w:r>
    </w:p>
    <w:p w14:paraId="3750F79C" w14:textId="77777777" w:rsidR="002541AD" w:rsidRDefault="00901AA6">
      <w:pPr>
        <w:spacing w:line="288" w:lineRule="auto"/>
        <w:jc w:val="right"/>
        <w:rPr>
          <w:rFonts w:ascii="Times New Roman" w:hAnsi="Times New Roman"/>
          <w:sz w:val="16"/>
          <w:szCs w:val="16"/>
        </w:rPr>
      </w:pPr>
      <w:hyperlink r:id="rId103" w:anchor="s2CABEAF4222C52B4A34547BF538A8C27" w:history="1">
        <w:r>
          <w:rPr>
            <w:rStyle w:val="a5"/>
            <w:rFonts w:ascii="Arial" w:eastAsia="宋体" w:hAnsi="Arial" w:cs="Arial"/>
            <w:b/>
            <w:bCs/>
            <w:sz w:val="16"/>
            <w:szCs w:val="16"/>
          </w:rPr>
          <w:t>Table of Contents</w:t>
        </w:r>
      </w:hyperlink>
    </w:p>
    <w:p w14:paraId="3750F79D" w14:textId="77777777" w:rsidR="002541AD" w:rsidRDefault="002541AD">
      <w:pPr>
        <w:spacing w:line="288" w:lineRule="auto"/>
        <w:jc w:val="right"/>
        <w:rPr>
          <w:rFonts w:ascii="Times New Roman" w:hAnsi="Times New Roman"/>
          <w:sz w:val="18"/>
          <w:szCs w:val="18"/>
        </w:rPr>
      </w:pPr>
    </w:p>
    <w:p w14:paraId="3750F79E" w14:textId="77777777" w:rsidR="002541AD" w:rsidRDefault="002541AD">
      <w:pPr>
        <w:rPr>
          <w:rFonts w:ascii="Times New Roman" w:hAnsi="Times New Roman"/>
          <w:sz w:val="20"/>
          <w:szCs w:val="20"/>
        </w:rPr>
      </w:pPr>
    </w:p>
    <w:p w14:paraId="3750F79F" w14:textId="77777777" w:rsidR="002541AD" w:rsidRDefault="00901AA6">
      <w:pPr>
        <w:spacing w:line="288" w:lineRule="auto"/>
        <w:rPr>
          <w:rFonts w:ascii="Times New Roman" w:hAnsi="Times New Roman"/>
          <w:sz w:val="28"/>
          <w:szCs w:val="28"/>
        </w:rPr>
      </w:pPr>
      <w:r>
        <w:rPr>
          <w:rFonts w:ascii="Arial" w:eastAsia="宋体" w:hAnsi="Arial" w:cs="Arial"/>
          <w:b/>
          <w:bCs/>
          <w:color w:val="0071C5"/>
          <w:sz w:val="28"/>
          <w:szCs w:val="28"/>
        </w:rPr>
        <w:t>SIGNATURES</w:t>
      </w:r>
    </w:p>
    <w:p w14:paraId="3750F7A0" w14:textId="77777777" w:rsidR="002541AD" w:rsidRDefault="00901AA6">
      <w:pPr>
        <w:spacing w:line="288" w:lineRule="auto"/>
        <w:rPr>
          <w:rFonts w:ascii="Times New Roman" w:hAnsi="Times New Roman"/>
          <w:sz w:val="18"/>
          <w:szCs w:val="18"/>
        </w:rPr>
      </w:pPr>
      <w:r>
        <w:rPr>
          <w:rFonts w:ascii="Arial" w:eastAsia="宋体" w:hAnsi="Arial" w:cs="Arial"/>
          <w:color w:val="333333"/>
          <w:sz w:val="18"/>
          <w:szCs w:val="18"/>
        </w:rPr>
        <w:t xml:space="preserve">Pursuant to the requirements of the Securities Exchange Act of </w:t>
      </w:r>
      <w:r>
        <w:rPr>
          <w:rFonts w:ascii="Arial" w:eastAsia="宋体" w:hAnsi="Arial" w:cs="Arial"/>
          <w:color w:val="333333"/>
          <w:sz w:val="18"/>
          <w:szCs w:val="18"/>
        </w:rPr>
        <w:t>1934, the registrant has duly caused this report to be signed on its behalf by the undersigned thereunto duly authorized.</w:t>
      </w:r>
    </w:p>
    <w:tbl>
      <w:tblPr>
        <w:tblW w:w="5000" w:type="pct"/>
        <w:tblCellMar>
          <w:left w:w="0" w:type="dxa"/>
          <w:right w:w="0" w:type="dxa"/>
        </w:tblCellMar>
        <w:tblLook w:val="04A0" w:firstRow="1" w:lastRow="0" w:firstColumn="1" w:lastColumn="0" w:noHBand="0" w:noVBand="1"/>
      </w:tblPr>
      <w:tblGrid>
        <w:gridCol w:w="511"/>
        <w:gridCol w:w="1987"/>
        <w:gridCol w:w="1324"/>
        <w:gridCol w:w="341"/>
        <w:gridCol w:w="161"/>
        <w:gridCol w:w="3982"/>
      </w:tblGrid>
      <w:tr w:rsidR="002541AD" w14:paraId="3750F7A2" w14:textId="77777777">
        <w:tc>
          <w:tcPr>
            <w:tcW w:w="0" w:type="auto"/>
            <w:gridSpan w:val="6"/>
            <w:shd w:val="clear" w:color="auto" w:fill="auto"/>
            <w:vAlign w:val="center"/>
          </w:tcPr>
          <w:p w14:paraId="3750F7A1" w14:textId="77777777" w:rsidR="002541AD" w:rsidRDefault="002541AD">
            <w:pPr>
              <w:rPr>
                <w:rFonts w:ascii="Times New Roman" w:hAnsi="Times New Roman"/>
                <w:sz w:val="20"/>
                <w:szCs w:val="20"/>
              </w:rPr>
            </w:pPr>
          </w:p>
        </w:tc>
      </w:tr>
      <w:tr w:rsidR="002541AD" w14:paraId="3750F7A9" w14:textId="77777777">
        <w:tc>
          <w:tcPr>
            <w:tcW w:w="300" w:type="pct"/>
            <w:shd w:val="clear" w:color="auto" w:fill="auto"/>
            <w:vAlign w:val="center"/>
          </w:tcPr>
          <w:p w14:paraId="3750F7A3" w14:textId="77777777" w:rsidR="002541AD" w:rsidRDefault="002541AD">
            <w:pPr>
              <w:rPr>
                <w:rFonts w:ascii="Times New Roman" w:hAnsi="Times New Roman"/>
                <w:sz w:val="20"/>
                <w:szCs w:val="20"/>
              </w:rPr>
            </w:pPr>
          </w:p>
        </w:tc>
        <w:tc>
          <w:tcPr>
            <w:tcW w:w="1200" w:type="pct"/>
            <w:shd w:val="clear" w:color="auto" w:fill="auto"/>
            <w:vAlign w:val="center"/>
          </w:tcPr>
          <w:p w14:paraId="3750F7A4" w14:textId="77777777" w:rsidR="002541AD" w:rsidRDefault="002541AD">
            <w:pPr>
              <w:rPr>
                <w:rFonts w:ascii="Times New Roman" w:hAnsi="Times New Roman"/>
                <w:sz w:val="20"/>
                <w:szCs w:val="20"/>
              </w:rPr>
            </w:pPr>
          </w:p>
        </w:tc>
        <w:tc>
          <w:tcPr>
            <w:tcW w:w="800" w:type="pct"/>
            <w:shd w:val="clear" w:color="auto" w:fill="auto"/>
            <w:vAlign w:val="center"/>
          </w:tcPr>
          <w:p w14:paraId="3750F7A5" w14:textId="77777777" w:rsidR="002541AD" w:rsidRDefault="002541AD">
            <w:pPr>
              <w:rPr>
                <w:rFonts w:ascii="Times New Roman" w:hAnsi="Times New Roman"/>
                <w:sz w:val="20"/>
                <w:szCs w:val="20"/>
              </w:rPr>
            </w:pPr>
          </w:p>
        </w:tc>
        <w:tc>
          <w:tcPr>
            <w:tcW w:w="200" w:type="pct"/>
            <w:shd w:val="clear" w:color="auto" w:fill="auto"/>
            <w:vAlign w:val="center"/>
          </w:tcPr>
          <w:p w14:paraId="3750F7A6" w14:textId="77777777" w:rsidR="002541AD" w:rsidRDefault="002541AD">
            <w:pPr>
              <w:rPr>
                <w:rFonts w:ascii="Times New Roman" w:hAnsi="Times New Roman"/>
                <w:sz w:val="20"/>
                <w:szCs w:val="20"/>
              </w:rPr>
            </w:pPr>
          </w:p>
        </w:tc>
        <w:tc>
          <w:tcPr>
            <w:tcW w:w="100" w:type="pct"/>
            <w:shd w:val="clear" w:color="auto" w:fill="auto"/>
            <w:vAlign w:val="center"/>
          </w:tcPr>
          <w:p w14:paraId="3750F7A7" w14:textId="77777777" w:rsidR="002541AD" w:rsidRDefault="002541AD">
            <w:pPr>
              <w:rPr>
                <w:rFonts w:ascii="Times New Roman" w:hAnsi="Times New Roman"/>
                <w:sz w:val="20"/>
                <w:szCs w:val="20"/>
              </w:rPr>
            </w:pPr>
          </w:p>
        </w:tc>
        <w:tc>
          <w:tcPr>
            <w:tcW w:w="2400" w:type="pct"/>
            <w:shd w:val="clear" w:color="auto" w:fill="auto"/>
            <w:vAlign w:val="center"/>
          </w:tcPr>
          <w:p w14:paraId="3750F7A8" w14:textId="77777777" w:rsidR="002541AD" w:rsidRDefault="002541AD">
            <w:pPr>
              <w:rPr>
                <w:rFonts w:ascii="Times New Roman" w:hAnsi="Times New Roman"/>
                <w:sz w:val="20"/>
                <w:szCs w:val="20"/>
              </w:rPr>
            </w:pPr>
          </w:p>
        </w:tc>
      </w:tr>
      <w:tr w:rsidR="002541AD" w14:paraId="3750F7AE" w14:textId="77777777">
        <w:tc>
          <w:tcPr>
            <w:tcW w:w="0" w:type="auto"/>
            <w:shd w:val="clear" w:color="auto" w:fill="auto"/>
            <w:tcMar>
              <w:top w:w="40" w:type="dxa"/>
              <w:left w:w="40" w:type="dxa"/>
              <w:bottom w:w="40" w:type="dxa"/>
              <w:right w:w="40" w:type="dxa"/>
            </w:tcMar>
            <w:vAlign w:val="bottom"/>
          </w:tcPr>
          <w:p w14:paraId="3750F7A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A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AC"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w:t>
            </w:r>
          </w:p>
        </w:tc>
        <w:tc>
          <w:tcPr>
            <w:tcW w:w="0" w:type="auto"/>
            <w:gridSpan w:val="3"/>
            <w:shd w:val="clear" w:color="auto" w:fill="auto"/>
            <w:tcMar>
              <w:top w:w="40" w:type="dxa"/>
              <w:left w:w="40" w:type="dxa"/>
              <w:bottom w:w="40" w:type="dxa"/>
              <w:right w:w="40" w:type="dxa"/>
            </w:tcMar>
            <w:vAlign w:val="bottom"/>
          </w:tcPr>
          <w:p w14:paraId="3750F7AD"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INTEL CORPORATION</w:t>
            </w:r>
            <w:r>
              <w:rPr>
                <w:rFonts w:ascii="Arial" w:eastAsia="宋体" w:hAnsi="Arial" w:cs="Arial"/>
                <w:color w:val="333333"/>
                <w:sz w:val="18"/>
                <w:szCs w:val="18"/>
              </w:rPr>
              <w:br/>
              <w:t>(Registrant)</w:t>
            </w:r>
          </w:p>
        </w:tc>
      </w:tr>
      <w:tr w:rsidR="002541AD" w14:paraId="3750F7B5" w14:textId="77777777">
        <w:tc>
          <w:tcPr>
            <w:tcW w:w="0" w:type="auto"/>
            <w:shd w:val="clear" w:color="auto" w:fill="auto"/>
            <w:tcMar>
              <w:top w:w="40" w:type="dxa"/>
              <w:left w:w="40" w:type="dxa"/>
              <w:bottom w:w="40" w:type="dxa"/>
              <w:right w:w="40" w:type="dxa"/>
            </w:tcMar>
            <w:vAlign w:val="bottom"/>
          </w:tcPr>
          <w:p w14:paraId="3750F7A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B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B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B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B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B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7BC" w14:textId="77777777">
        <w:tc>
          <w:tcPr>
            <w:tcW w:w="0" w:type="auto"/>
            <w:shd w:val="clear" w:color="auto" w:fill="auto"/>
            <w:tcMar>
              <w:top w:w="40" w:type="dxa"/>
              <w:left w:w="40" w:type="dxa"/>
              <w:bottom w:w="40" w:type="dxa"/>
              <w:right w:w="40" w:type="dxa"/>
            </w:tcMar>
            <w:vAlign w:val="bottom"/>
          </w:tcPr>
          <w:p w14:paraId="3750F7B6"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xml:space="preserve">Date: </w:t>
            </w:r>
          </w:p>
        </w:tc>
        <w:tc>
          <w:tcPr>
            <w:tcW w:w="0" w:type="auto"/>
            <w:shd w:val="clear" w:color="auto" w:fill="auto"/>
            <w:tcMar>
              <w:top w:w="40" w:type="dxa"/>
              <w:left w:w="40" w:type="dxa"/>
              <w:bottom w:w="40" w:type="dxa"/>
              <w:right w:w="40" w:type="dxa"/>
            </w:tcMar>
            <w:vAlign w:val="bottom"/>
          </w:tcPr>
          <w:p w14:paraId="3750F7B7"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April 23, 2020</w:t>
            </w:r>
          </w:p>
        </w:tc>
        <w:tc>
          <w:tcPr>
            <w:tcW w:w="0" w:type="auto"/>
            <w:shd w:val="clear" w:color="auto" w:fill="auto"/>
            <w:tcMar>
              <w:top w:w="40" w:type="dxa"/>
              <w:left w:w="40" w:type="dxa"/>
              <w:bottom w:w="40" w:type="dxa"/>
              <w:right w:w="40" w:type="dxa"/>
            </w:tcMar>
            <w:vAlign w:val="bottom"/>
          </w:tcPr>
          <w:p w14:paraId="3750F7B8"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w:t>
            </w:r>
          </w:p>
        </w:tc>
        <w:tc>
          <w:tcPr>
            <w:tcW w:w="0" w:type="auto"/>
            <w:shd w:val="clear" w:color="auto" w:fill="auto"/>
            <w:tcMar>
              <w:top w:w="40" w:type="dxa"/>
              <w:left w:w="40" w:type="dxa"/>
              <w:bottom w:w="40" w:type="dxa"/>
              <w:right w:w="40" w:type="dxa"/>
            </w:tcMar>
            <w:vAlign w:val="bottom"/>
          </w:tcPr>
          <w:p w14:paraId="3750F7B9"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By:</w:t>
            </w:r>
          </w:p>
        </w:tc>
        <w:tc>
          <w:tcPr>
            <w:tcW w:w="0" w:type="auto"/>
            <w:tcBorders>
              <w:bottom w:val="single" w:sz="8" w:space="0" w:color="333333"/>
            </w:tcBorders>
            <w:shd w:val="clear" w:color="auto" w:fill="auto"/>
            <w:tcMar>
              <w:top w:w="40" w:type="dxa"/>
              <w:left w:w="40" w:type="dxa"/>
              <w:bottom w:w="40" w:type="dxa"/>
              <w:right w:w="40" w:type="dxa"/>
            </w:tcMar>
            <w:vAlign w:val="bottom"/>
          </w:tcPr>
          <w:p w14:paraId="3750F7BA"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3750F7BB"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/s/ GEORGE S. DAVIS</w:t>
            </w:r>
          </w:p>
        </w:tc>
      </w:tr>
      <w:tr w:rsidR="002541AD" w14:paraId="3750F7C3" w14:textId="77777777">
        <w:tc>
          <w:tcPr>
            <w:tcW w:w="0" w:type="auto"/>
            <w:shd w:val="clear" w:color="auto" w:fill="auto"/>
            <w:tcMar>
              <w:top w:w="40" w:type="dxa"/>
              <w:left w:w="40" w:type="dxa"/>
              <w:bottom w:w="40" w:type="dxa"/>
              <w:right w:w="40" w:type="dxa"/>
            </w:tcMar>
            <w:vAlign w:val="bottom"/>
          </w:tcPr>
          <w:p w14:paraId="3750F7B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B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BF"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w:t>
            </w:r>
          </w:p>
        </w:tc>
        <w:tc>
          <w:tcPr>
            <w:tcW w:w="0" w:type="auto"/>
            <w:shd w:val="clear" w:color="auto" w:fill="auto"/>
            <w:tcMar>
              <w:top w:w="40" w:type="dxa"/>
              <w:left w:w="40" w:type="dxa"/>
              <w:bottom w:w="40" w:type="dxa"/>
              <w:right w:w="40" w:type="dxa"/>
            </w:tcMar>
            <w:vAlign w:val="bottom"/>
          </w:tcPr>
          <w:p w14:paraId="3750F7C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C1"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w:t>
            </w:r>
          </w:p>
        </w:tc>
        <w:tc>
          <w:tcPr>
            <w:tcW w:w="0" w:type="auto"/>
            <w:shd w:val="clear" w:color="auto" w:fill="auto"/>
            <w:tcMar>
              <w:top w:w="40" w:type="dxa"/>
              <w:left w:w="40" w:type="dxa"/>
              <w:bottom w:w="40" w:type="dxa"/>
              <w:right w:w="40" w:type="dxa"/>
            </w:tcMar>
            <w:vAlign w:val="bottom"/>
          </w:tcPr>
          <w:p w14:paraId="3750F7C2"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xml:space="preserve">George S. </w:t>
            </w:r>
            <w:r>
              <w:rPr>
                <w:rFonts w:ascii="Arial" w:eastAsia="宋体" w:hAnsi="Arial" w:cs="Arial"/>
                <w:color w:val="333333"/>
                <w:sz w:val="18"/>
                <w:szCs w:val="18"/>
              </w:rPr>
              <w:t>Davis</w:t>
            </w:r>
          </w:p>
        </w:tc>
      </w:tr>
      <w:tr w:rsidR="002541AD" w14:paraId="3750F7CA" w14:textId="77777777">
        <w:tc>
          <w:tcPr>
            <w:tcW w:w="0" w:type="auto"/>
            <w:shd w:val="clear" w:color="auto" w:fill="auto"/>
            <w:tcMar>
              <w:top w:w="40" w:type="dxa"/>
              <w:left w:w="40" w:type="dxa"/>
              <w:bottom w:w="40" w:type="dxa"/>
              <w:right w:w="40" w:type="dxa"/>
            </w:tcMar>
            <w:vAlign w:val="bottom"/>
          </w:tcPr>
          <w:p w14:paraId="3750F7C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C5"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C6"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w:t>
            </w:r>
          </w:p>
        </w:tc>
        <w:tc>
          <w:tcPr>
            <w:tcW w:w="0" w:type="auto"/>
            <w:shd w:val="clear" w:color="auto" w:fill="auto"/>
            <w:tcMar>
              <w:top w:w="40" w:type="dxa"/>
              <w:left w:w="40" w:type="dxa"/>
              <w:bottom w:w="40" w:type="dxa"/>
              <w:right w:w="40" w:type="dxa"/>
            </w:tcMar>
            <w:vAlign w:val="bottom"/>
          </w:tcPr>
          <w:p w14:paraId="3750F7C7"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C8"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 </w:t>
            </w:r>
          </w:p>
        </w:tc>
        <w:tc>
          <w:tcPr>
            <w:tcW w:w="0" w:type="auto"/>
            <w:shd w:val="clear" w:color="auto" w:fill="auto"/>
            <w:tcMar>
              <w:top w:w="40" w:type="dxa"/>
              <w:left w:w="40" w:type="dxa"/>
              <w:bottom w:w="40" w:type="dxa"/>
              <w:right w:w="40" w:type="dxa"/>
            </w:tcMar>
          </w:tcPr>
          <w:p w14:paraId="3750F7C9"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Executive Vice President, Chief Financial Officer and Principal Financial Officer</w:t>
            </w:r>
          </w:p>
        </w:tc>
      </w:tr>
      <w:tr w:rsidR="002541AD" w14:paraId="3750F7D1" w14:textId="77777777">
        <w:tc>
          <w:tcPr>
            <w:tcW w:w="0" w:type="auto"/>
            <w:shd w:val="clear" w:color="auto" w:fill="auto"/>
            <w:tcMar>
              <w:top w:w="40" w:type="dxa"/>
              <w:left w:w="40" w:type="dxa"/>
              <w:bottom w:w="40" w:type="dxa"/>
              <w:right w:w="40" w:type="dxa"/>
            </w:tcMar>
            <w:vAlign w:val="bottom"/>
          </w:tcPr>
          <w:p w14:paraId="3750F7C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C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C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CE"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C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D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r>
      <w:tr w:rsidR="002541AD" w14:paraId="3750F7D8" w14:textId="77777777">
        <w:tc>
          <w:tcPr>
            <w:tcW w:w="0" w:type="auto"/>
            <w:shd w:val="clear" w:color="auto" w:fill="auto"/>
            <w:tcMar>
              <w:top w:w="40" w:type="dxa"/>
              <w:left w:w="40" w:type="dxa"/>
              <w:bottom w:w="40" w:type="dxa"/>
              <w:right w:w="40" w:type="dxa"/>
            </w:tcMar>
          </w:tcPr>
          <w:p w14:paraId="3750F7D2"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Date:</w:t>
            </w:r>
          </w:p>
        </w:tc>
        <w:tc>
          <w:tcPr>
            <w:tcW w:w="0" w:type="auto"/>
            <w:shd w:val="clear" w:color="auto" w:fill="auto"/>
            <w:tcMar>
              <w:top w:w="40" w:type="dxa"/>
              <w:left w:w="40" w:type="dxa"/>
              <w:bottom w:w="40" w:type="dxa"/>
              <w:right w:w="40" w:type="dxa"/>
            </w:tcMar>
            <w:vAlign w:val="bottom"/>
          </w:tcPr>
          <w:p w14:paraId="3750F7D3"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April 23, 2020</w:t>
            </w:r>
          </w:p>
        </w:tc>
        <w:tc>
          <w:tcPr>
            <w:tcW w:w="0" w:type="auto"/>
            <w:shd w:val="clear" w:color="auto" w:fill="auto"/>
            <w:tcMar>
              <w:top w:w="40" w:type="dxa"/>
              <w:left w:w="40" w:type="dxa"/>
              <w:bottom w:w="40" w:type="dxa"/>
              <w:right w:w="40" w:type="dxa"/>
            </w:tcMar>
            <w:vAlign w:val="bottom"/>
          </w:tcPr>
          <w:p w14:paraId="3750F7D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D5"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By:</w:t>
            </w:r>
          </w:p>
        </w:tc>
        <w:tc>
          <w:tcPr>
            <w:tcW w:w="0" w:type="auto"/>
            <w:tcBorders>
              <w:bottom w:val="single" w:sz="8" w:space="0" w:color="333333"/>
            </w:tcBorders>
            <w:shd w:val="clear" w:color="auto" w:fill="auto"/>
            <w:tcMar>
              <w:top w:w="40" w:type="dxa"/>
              <w:left w:w="40" w:type="dxa"/>
              <w:bottom w:w="40" w:type="dxa"/>
              <w:right w:w="40" w:type="dxa"/>
            </w:tcMar>
            <w:vAlign w:val="bottom"/>
          </w:tcPr>
          <w:p w14:paraId="3750F7D6"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333333"/>
            </w:tcBorders>
            <w:shd w:val="clear" w:color="auto" w:fill="auto"/>
            <w:tcMar>
              <w:top w:w="40" w:type="dxa"/>
              <w:left w:w="40" w:type="dxa"/>
              <w:bottom w:w="40" w:type="dxa"/>
              <w:right w:w="40" w:type="dxa"/>
            </w:tcMar>
            <w:vAlign w:val="bottom"/>
          </w:tcPr>
          <w:p w14:paraId="3750F7D7"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/s/ KEVIN T. MCBRIDE</w:t>
            </w:r>
          </w:p>
        </w:tc>
      </w:tr>
      <w:tr w:rsidR="002541AD" w14:paraId="3750F7DF" w14:textId="77777777">
        <w:tc>
          <w:tcPr>
            <w:tcW w:w="0" w:type="auto"/>
            <w:shd w:val="clear" w:color="auto" w:fill="auto"/>
            <w:tcMar>
              <w:top w:w="40" w:type="dxa"/>
              <w:left w:w="40" w:type="dxa"/>
              <w:bottom w:w="40" w:type="dxa"/>
              <w:right w:w="40" w:type="dxa"/>
            </w:tcMar>
            <w:vAlign w:val="bottom"/>
          </w:tcPr>
          <w:p w14:paraId="3750F7D9"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DA"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DB"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DC"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DD"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DE" w14:textId="77777777" w:rsidR="002541AD" w:rsidRDefault="00901AA6">
            <w:pPr>
              <w:textAlignment w:val="bottom"/>
              <w:rPr>
                <w:rFonts w:ascii="Times New Roman" w:hAnsi="Times New Roman"/>
                <w:sz w:val="18"/>
                <w:szCs w:val="18"/>
              </w:rPr>
            </w:pPr>
            <w:r>
              <w:rPr>
                <w:rFonts w:ascii="Arial" w:eastAsia="宋体" w:hAnsi="Arial" w:cs="Arial"/>
                <w:color w:val="333333"/>
                <w:sz w:val="18"/>
                <w:szCs w:val="18"/>
              </w:rPr>
              <w:t>Kevin T. McBride</w:t>
            </w:r>
          </w:p>
        </w:tc>
      </w:tr>
      <w:tr w:rsidR="002541AD" w14:paraId="3750F7E6" w14:textId="77777777">
        <w:tc>
          <w:tcPr>
            <w:tcW w:w="0" w:type="auto"/>
            <w:shd w:val="clear" w:color="auto" w:fill="auto"/>
            <w:tcMar>
              <w:top w:w="40" w:type="dxa"/>
              <w:left w:w="40" w:type="dxa"/>
              <w:bottom w:w="40" w:type="dxa"/>
              <w:right w:w="40" w:type="dxa"/>
            </w:tcMar>
            <w:vAlign w:val="bottom"/>
          </w:tcPr>
          <w:p w14:paraId="3750F7E0"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E1"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E2"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E3"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3750F7E4"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3750F7E5" w14:textId="77777777" w:rsidR="002541AD" w:rsidRDefault="00901AA6">
            <w:pPr>
              <w:textAlignment w:val="top"/>
              <w:rPr>
                <w:rFonts w:ascii="Times New Roman" w:hAnsi="Times New Roman"/>
                <w:sz w:val="18"/>
                <w:szCs w:val="18"/>
              </w:rPr>
            </w:pPr>
            <w:r>
              <w:rPr>
                <w:rFonts w:ascii="Arial" w:eastAsia="宋体" w:hAnsi="Arial" w:cs="Arial"/>
                <w:color w:val="333333"/>
                <w:sz w:val="18"/>
                <w:szCs w:val="18"/>
              </w:rPr>
              <w:t xml:space="preserve">Vice President of Finance, Corporate </w:t>
            </w:r>
            <w:r>
              <w:rPr>
                <w:rFonts w:ascii="Arial" w:eastAsia="宋体" w:hAnsi="Arial" w:cs="Arial"/>
                <w:color w:val="333333"/>
                <w:sz w:val="18"/>
                <w:szCs w:val="18"/>
              </w:rPr>
              <w:t>Controller and Principal Accounting Officer</w:t>
            </w:r>
          </w:p>
        </w:tc>
      </w:tr>
    </w:tbl>
    <w:p w14:paraId="3750F7E7" w14:textId="77777777" w:rsidR="002541AD" w:rsidRDefault="002541A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575"/>
        <w:gridCol w:w="2575"/>
        <w:gridCol w:w="3156"/>
      </w:tblGrid>
      <w:tr w:rsidR="002541AD" w14:paraId="3750F7E9" w14:textId="77777777">
        <w:tc>
          <w:tcPr>
            <w:tcW w:w="0" w:type="auto"/>
            <w:gridSpan w:val="3"/>
            <w:shd w:val="clear" w:color="auto" w:fill="auto"/>
            <w:vAlign w:val="center"/>
          </w:tcPr>
          <w:p w14:paraId="3750F7E8" w14:textId="77777777" w:rsidR="002541AD" w:rsidRDefault="002541AD">
            <w:pPr>
              <w:rPr>
                <w:rFonts w:ascii="Times New Roman" w:hAnsi="Times New Roman"/>
                <w:sz w:val="20"/>
                <w:szCs w:val="20"/>
              </w:rPr>
            </w:pPr>
          </w:p>
        </w:tc>
      </w:tr>
      <w:tr w:rsidR="002541AD" w14:paraId="3750F7ED" w14:textId="77777777">
        <w:tc>
          <w:tcPr>
            <w:tcW w:w="1550" w:type="pct"/>
            <w:shd w:val="clear" w:color="auto" w:fill="auto"/>
            <w:vAlign w:val="center"/>
          </w:tcPr>
          <w:p w14:paraId="3750F7EA" w14:textId="77777777" w:rsidR="002541AD" w:rsidRDefault="002541AD">
            <w:pPr>
              <w:rPr>
                <w:rFonts w:ascii="Times New Roman" w:hAnsi="Times New Roman"/>
                <w:sz w:val="20"/>
                <w:szCs w:val="20"/>
              </w:rPr>
            </w:pPr>
          </w:p>
        </w:tc>
        <w:tc>
          <w:tcPr>
            <w:tcW w:w="1550" w:type="pct"/>
            <w:shd w:val="clear" w:color="auto" w:fill="auto"/>
            <w:vAlign w:val="center"/>
          </w:tcPr>
          <w:p w14:paraId="3750F7EB" w14:textId="77777777" w:rsidR="002541AD" w:rsidRDefault="002541AD">
            <w:pPr>
              <w:rPr>
                <w:rFonts w:ascii="Times New Roman" w:hAnsi="Times New Roman"/>
                <w:sz w:val="20"/>
                <w:szCs w:val="20"/>
              </w:rPr>
            </w:pPr>
          </w:p>
        </w:tc>
        <w:tc>
          <w:tcPr>
            <w:tcW w:w="1900" w:type="pct"/>
            <w:shd w:val="clear" w:color="auto" w:fill="auto"/>
            <w:vAlign w:val="center"/>
          </w:tcPr>
          <w:p w14:paraId="3750F7EC" w14:textId="77777777" w:rsidR="002541AD" w:rsidRDefault="002541AD">
            <w:pPr>
              <w:rPr>
                <w:rFonts w:ascii="Times New Roman" w:hAnsi="Times New Roman"/>
                <w:sz w:val="20"/>
                <w:szCs w:val="20"/>
              </w:rPr>
            </w:pPr>
          </w:p>
        </w:tc>
      </w:tr>
      <w:tr w:rsidR="002541AD" w14:paraId="3750F7F1" w14:textId="77777777">
        <w:tc>
          <w:tcPr>
            <w:tcW w:w="0" w:type="auto"/>
            <w:tcBorders>
              <w:top w:val="single" w:sz="8" w:space="0" w:color="0071C5"/>
            </w:tcBorders>
            <w:shd w:val="clear" w:color="auto" w:fill="auto"/>
            <w:tcMar>
              <w:top w:w="40" w:type="dxa"/>
              <w:left w:w="40" w:type="dxa"/>
              <w:bottom w:w="40" w:type="dxa"/>
              <w:right w:w="40" w:type="dxa"/>
            </w:tcMar>
            <w:vAlign w:val="center"/>
          </w:tcPr>
          <w:p w14:paraId="3750F7EE" w14:textId="77777777" w:rsidR="002541AD" w:rsidRDefault="00901AA6">
            <w:pPr>
              <w:textAlignment w:val="center"/>
              <w:rPr>
                <w:rFonts w:ascii="Times New Roman" w:hAnsi="Times New Roman"/>
                <w:sz w:val="16"/>
                <w:szCs w:val="16"/>
              </w:rPr>
            </w:pPr>
            <w:r>
              <w:rPr>
                <w:rFonts w:ascii="Times New Roman" w:eastAsia="宋体" w:hAnsi="Times New Roman"/>
                <w:sz w:val="16"/>
                <w:szCs w:val="16"/>
              </w:rPr>
              <w:fldChar w:fldCharType="begin"/>
            </w:r>
            <w:r>
              <w:rPr>
                <w:rFonts w:ascii="Times New Roman" w:eastAsia="宋体" w:hAnsi="Times New Roman"/>
                <w:sz w:val="16"/>
                <w:szCs w:val="16"/>
              </w:rPr>
              <w:instrText xml:space="preserve">INCLUDEPICTURE \d "/Users/xuxinrun/Document/04 msra/20230209 </w:instrText>
            </w:r>
            <w:r>
              <w:rPr>
                <w:rFonts w:ascii="Times New Roman" w:eastAsia="宋体" w:hAnsi="Times New Roman"/>
                <w:sz w:val="16"/>
                <w:szCs w:val="16"/>
              </w:rPr>
              <w:instrText>公司财报</w:instrText>
            </w:r>
            <w:r>
              <w:rPr>
                <w:rFonts w:ascii="Times New Roman" w:eastAsia="宋体" w:hAnsi="Times New Roman"/>
                <w:sz w:val="16"/>
                <w:szCs w:val="16"/>
              </w:rPr>
              <w:instrText xml:space="preserve">/INTEL/./Inline XBRL Viewer11_files/a002intellogo_footer.jpg" \* MERGEFORMATINET </w:instrText>
            </w:r>
            <w:r>
              <w:rPr>
                <w:rFonts w:ascii="Times New Roman" w:eastAsia="宋体" w:hAnsi="Times New Roman"/>
                <w:sz w:val="16"/>
                <w:szCs w:val="16"/>
              </w:rPr>
              <w:fldChar w:fldCharType="separate"/>
            </w:r>
            <w:r>
              <w:rPr>
                <w:rFonts w:ascii="Times New Roman" w:eastAsia="宋体" w:hAnsi="Times New Roman"/>
                <w:noProof/>
                <w:sz w:val="16"/>
                <w:szCs w:val="16"/>
              </w:rPr>
              <w:drawing>
                <wp:inline distT="0" distB="0" distL="114300" distR="114300" wp14:anchorId="3750F8EA" wp14:editId="3750F8EB">
                  <wp:extent cx="304800" cy="304800"/>
                  <wp:effectExtent l="0" t="0" r="0" b="0"/>
                  <wp:docPr id="80" name="图片 14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48"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16"/>
                <w:szCs w:val="16"/>
              </w:rPr>
              <w:fldChar w:fldCharType="end"/>
            </w:r>
            <w:r>
              <w:rPr>
                <w:rFonts w:ascii="Arial" w:eastAsia="宋体" w:hAnsi="Arial" w:cs="Arial"/>
                <w:color w:val="333333"/>
                <w:sz w:val="16"/>
                <w:szCs w:val="16"/>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7EF" w14:textId="77777777" w:rsidR="002541AD" w:rsidRDefault="00901AA6">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71C5"/>
            </w:tcBorders>
            <w:shd w:val="clear" w:color="auto" w:fill="auto"/>
            <w:tcMar>
              <w:top w:w="40" w:type="dxa"/>
              <w:left w:w="40" w:type="dxa"/>
              <w:bottom w:w="40" w:type="dxa"/>
              <w:right w:w="40" w:type="dxa"/>
            </w:tcMar>
            <w:vAlign w:val="bottom"/>
          </w:tcPr>
          <w:p w14:paraId="3750F7F0" w14:textId="77777777" w:rsidR="002541AD" w:rsidRDefault="00901AA6">
            <w:pPr>
              <w:jc w:val="right"/>
              <w:textAlignment w:val="bottom"/>
              <w:rPr>
                <w:rFonts w:ascii="Times New Roman" w:hAnsi="Times New Roman"/>
                <w:sz w:val="16"/>
                <w:szCs w:val="16"/>
              </w:rPr>
            </w:pPr>
            <w:r>
              <w:rPr>
                <w:rFonts w:ascii="Arial" w:eastAsia="宋体" w:hAnsi="Arial" w:cs="Arial"/>
                <w:color w:val="333333"/>
                <w:sz w:val="16"/>
                <w:szCs w:val="16"/>
              </w:rPr>
              <w:t>46</w:t>
            </w:r>
          </w:p>
        </w:tc>
      </w:tr>
    </w:tbl>
    <w:p w14:paraId="3750F7F2" w14:textId="77777777" w:rsidR="002541AD" w:rsidRDefault="00901AA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750F8EC" wp14:editId="3750F8ED">
                <wp:extent cx="635" cy="0"/>
                <wp:effectExtent l="0" t="0" r="0" b="0"/>
                <wp:docPr id="79" name="矩形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CuA/MI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41AD" w14:paraId="3750F7F4" w14:textId="77777777">
        <w:trPr>
          <w:tblCellSpacing w:w="15" w:type="dxa"/>
        </w:trPr>
        <w:tc>
          <w:tcPr>
            <w:tcW w:w="0" w:type="auto"/>
            <w:shd w:val="clear" w:color="auto" w:fill="auto"/>
            <w:vAlign w:val="center"/>
          </w:tcPr>
          <w:p w14:paraId="3750F7F3" w14:textId="77777777" w:rsidR="002541AD" w:rsidRDefault="002541AD">
            <w:pPr>
              <w:rPr>
                <w:rFonts w:ascii="宋体"/>
              </w:rPr>
            </w:pPr>
          </w:p>
        </w:tc>
      </w:tr>
    </w:tbl>
    <w:p w14:paraId="3750F7F5" w14:textId="77777777" w:rsidR="002541AD" w:rsidRDefault="002541A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41AD" w14:paraId="3750F7F7" w14:textId="77777777">
        <w:trPr>
          <w:tblCellSpacing w:w="15" w:type="dxa"/>
        </w:trPr>
        <w:tc>
          <w:tcPr>
            <w:tcW w:w="0" w:type="auto"/>
            <w:shd w:val="clear" w:color="auto" w:fill="auto"/>
            <w:vAlign w:val="center"/>
          </w:tcPr>
          <w:p w14:paraId="3750F7F6" w14:textId="77777777" w:rsidR="002541AD" w:rsidRDefault="002541AD">
            <w:pPr>
              <w:rPr>
                <w:rFonts w:ascii="宋体"/>
              </w:rPr>
            </w:pPr>
          </w:p>
        </w:tc>
      </w:tr>
    </w:tbl>
    <w:p w14:paraId="3750F7F8" w14:textId="77777777" w:rsidR="002541AD" w:rsidRDefault="002541A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41AD" w14:paraId="3750F7FA" w14:textId="77777777">
        <w:trPr>
          <w:tblCellSpacing w:w="15" w:type="dxa"/>
        </w:trPr>
        <w:tc>
          <w:tcPr>
            <w:tcW w:w="0" w:type="auto"/>
            <w:shd w:val="clear" w:color="auto" w:fill="auto"/>
            <w:vAlign w:val="center"/>
          </w:tcPr>
          <w:p w14:paraId="3750F7F9" w14:textId="77777777" w:rsidR="002541AD" w:rsidRDefault="002541AD">
            <w:pPr>
              <w:rPr>
                <w:rFonts w:ascii="宋体"/>
              </w:rPr>
            </w:pPr>
          </w:p>
        </w:tc>
      </w:tr>
    </w:tbl>
    <w:p w14:paraId="3750F7FB" w14:textId="77777777" w:rsidR="002541AD" w:rsidRDefault="002541A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41AD" w14:paraId="3750F7FD" w14:textId="77777777">
        <w:trPr>
          <w:tblCellSpacing w:w="15" w:type="dxa"/>
        </w:trPr>
        <w:tc>
          <w:tcPr>
            <w:tcW w:w="0" w:type="auto"/>
            <w:shd w:val="clear" w:color="auto" w:fill="auto"/>
            <w:vAlign w:val="center"/>
          </w:tcPr>
          <w:p w14:paraId="3750F7FC" w14:textId="77777777" w:rsidR="002541AD" w:rsidRDefault="002541AD">
            <w:pPr>
              <w:rPr>
                <w:rFonts w:ascii="宋体"/>
              </w:rPr>
            </w:pPr>
          </w:p>
        </w:tc>
      </w:tr>
    </w:tbl>
    <w:p w14:paraId="3750F7FE" w14:textId="77777777" w:rsidR="002541AD" w:rsidRDefault="00901AA6">
      <w:r>
        <w:rPr>
          <w:rFonts w:ascii="宋体" w:eastAsia="宋体" w:hAnsi="宋体" w:cs="宋体"/>
        </w:rPr>
        <w:t xml:space="preserve">Previous Next </w:t>
      </w:r>
    </w:p>
    <w:p w14:paraId="3750F7FF" w14:textId="77777777" w:rsidR="002541AD" w:rsidRDefault="00901AA6">
      <w:pPr>
        <w:pStyle w:val="a3"/>
      </w:pPr>
      <w:r>
        <w:t>Settings</w:t>
      </w:r>
    </w:p>
    <w:p w14:paraId="3750F800" w14:textId="77777777" w:rsidR="002541AD" w:rsidRDefault="00901AA6">
      <w:pPr>
        <w:pStyle w:val="Style4"/>
      </w:pPr>
      <w:r>
        <w:t>窗体顶端</w:t>
      </w:r>
    </w:p>
    <w:p w14:paraId="3750F801" w14:textId="77777777" w:rsidR="002541AD" w:rsidRDefault="00901AA6">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3750F8EE" wp14:editId="3750F8EF">
                <wp:extent cx="635" cy="0"/>
                <wp:effectExtent l="0" t="0" r="0" b="0"/>
                <wp:docPr id="90" name="矩形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LLkIv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MsuQi/wEAABo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3750F802" w14:textId="77777777" w:rsidR="002541AD" w:rsidRDefault="00901AA6">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3750F8F0" wp14:editId="3750F8F1">
                <wp:extent cx="635" cy="0"/>
                <wp:effectExtent l="0" t="0" r="0" b="0"/>
                <wp:docPr id="91" name="矩形 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1kKvw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1kKvwACAAAaBAAADgAAAAAAAAAB&#10;ACAAAAAzAQAAZHJzL2Uyb0RvYy54bWxQSwUGAAAAAAYABgBZAQAApQU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3750F803" w14:textId="77777777" w:rsidR="002541AD" w:rsidRDefault="00901AA6">
      <w:r>
        <w:pict w14:anchorId="3750F8F2">
          <v:rect id="_x0000_i1072" style="width:415.3pt;height:1.5pt" o:hralign="center" o:hrstd="t" o:hr="t" fillcolor="#a0a0a0" stroked="f"/>
        </w:pict>
      </w:r>
    </w:p>
    <w:p w14:paraId="3750F804" w14:textId="77777777" w:rsidR="002541AD" w:rsidRDefault="00901AA6">
      <w:r>
        <w:rPr>
          <w:rFonts w:ascii="宋体" w:eastAsia="宋体" w:hAnsi="宋体" w:cs="宋体"/>
        </w:rPr>
        <w:t xml:space="preserve">Tagged Data </w:t>
      </w:r>
    </w:p>
    <w:p w14:paraId="3750F805" w14:textId="77777777" w:rsidR="002541AD" w:rsidRDefault="00901AA6">
      <w:r>
        <w:rPr>
          <w:rFonts w:ascii="monospace" w:eastAsia="monospace" w:hAnsi="monospace" w:cs="monospace"/>
          <w:noProof/>
        </w:rPr>
        <mc:AlternateContent>
          <mc:Choice Requires="wps">
            <w:drawing>
              <wp:inline distT="0" distB="0" distL="114300" distR="114300" wp14:anchorId="3750F8F3" wp14:editId="3750F8F4">
                <wp:extent cx="635" cy="0"/>
                <wp:effectExtent l="0" t="0" r="0" b="0"/>
                <wp:docPr id="83" name="矩形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N9jVMBAgAAGgQAAA4AAAAAAAAA&#10;AQAgAAAAMwEAAGRycy9lMm9Eb2MueG1sUEsFBgAAAAAGAAYAWQEAAKYFAAAAAA==&#10;">
                <v:path/>
                <v:fill on="f" focussize="0,0"/>
                <v:stroke/>
                <v:imagedata o:title=""/>
                <o:lock v:ext="edit" aspectratio="t"/>
                <w10:wrap type="none"/>
                <w10:anchorlock/>
              </v:rect>
            </w:pict>
          </mc:Fallback>
        </mc:AlternateContent>
      </w:r>
    </w:p>
    <w:p w14:paraId="3750F806" w14:textId="77777777" w:rsidR="002541AD" w:rsidRDefault="00901AA6">
      <w:r>
        <w:rPr>
          <w:rFonts w:ascii="宋体" w:eastAsia="宋体" w:hAnsi="宋体" w:cs="宋体"/>
        </w:rPr>
        <w:t>Save</w:t>
      </w:r>
    </w:p>
    <w:p w14:paraId="3750F807" w14:textId="77777777" w:rsidR="002541AD" w:rsidRDefault="00901AA6">
      <w:r>
        <w:rPr>
          <w:rFonts w:ascii="宋体" w:eastAsia="宋体" w:hAnsi="宋体" w:cs="宋体"/>
        </w:rPr>
        <w:t>Reset</w:t>
      </w:r>
    </w:p>
    <w:p w14:paraId="3750F808" w14:textId="77777777" w:rsidR="002541AD" w:rsidRDefault="00901AA6">
      <w:r>
        <w:pict w14:anchorId="3750F8F5">
          <v:rect id="_x0000_i1073" style="width:415.3pt;height:1.5pt" o:hralign="center" o:hrstd="t" o:hr="t" fillcolor="#a0a0a0" stroked="f"/>
        </w:pict>
      </w:r>
    </w:p>
    <w:p w14:paraId="3750F809" w14:textId="77777777" w:rsidR="002541AD" w:rsidRDefault="00901AA6">
      <w:r>
        <w:rPr>
          <w:rFonts w:ascii="宋体" w:eastAsia="宋体" w:hAnsi="宋体" w:cs="宋体"/>
        </w:rPr>
        <w:t xml:space="preserve">Search Results </w:t>
      </w:r>
    </w:p>
    <w:p w14:paraId="3750F80A" w14:textId="77777777" w:rsidR="002541AD" w:rsidRDefault="00901AA6">
      <w:r>
        <w:rPr>
          <w:rFonts w:ascii="monospace" w:eastAsia="monospace" w:hAnsi="monospace" w:cs="monospace"/>
          <w:noProof/>
        </w:rPr>
        <mc:AlternateContent>
          <mc:Choice Requires="wps">
            <w:drawing>
              <wp:inline distT="0" distB="0" distL="114300" distR="114300" wp14:anchorId="3750F8F6" wp14:editId="3750F8F7">
                <wp:extent cx="635" cy="0"/>
                <wp:effectExtent l="0" t="0" r="0" b="0"/>
                <wp:docPr id="81" name="矩形 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SsIbMBAgAAGgQAAA4AAAAAAAAA&#10;AQAgAAAAMwEAAGRycy9lMm9Eb2MueG1sUEsFBgAAAAAGAAYAWQEAAKYFAAAAAA==&#10;">
                <v:path/>
                <v:fill on="f" focussize="0,0"/>
                <v:stroke/>
                <v:imagedata o:title=""/>
                <o:lock v:ext="edit" aspectratio="t"/>
                <w10:wrap type="none"/>
                <w10:anchorlock/>
              </v:rect>
            </w:pict>
          </mc:Fallback>
        </mc:AlternateContent>
      </w:r>
    </w:p>
    <w:p w14:paraId="3750F80B" w14:textId="77777777" w:rsidR="002541AD" w:rsidRDefault="00901AA6">
      <w:r>
        <w:rPr>
          <w:rFonts w:ascii="宋体" w:eastAsia="宋体" w:hAnsi="宋体" w:cs="宋体"/>
        </w:rPr>
        <w:t>Save</w:t>
      </w:r>
    </w:p>
    <w:p w14:paraId="3750F80C" w14:textId="77777777" w:rsidR="002541AD" w:rsidRDefault="00901AA6">
      <w:r>
        <w:rPr>
          <w:rFonts w:ascii="宋体" w:eastAsia="宋体" w:hAnsi="宋体" w:cs="宋体"/>
        </w:rPr>
        <w:t>Reset</w:t>
      </w:r>
    </w:p>
    <w:p w14:paraId="3750F80D" w14:textId="77777777" w:rsidR="002541AD" w:rsidRDefault="00901AA6">
      <w:r>
        <w:pict w14:anchorId="3750F8F8">
          <v:rect id="_x0000_i1074" style="width:415.3pt;height:1.5pt" o:hralign="center" o:hrstd="t" o:hr="t" fillcolor="#a0a0a0" stroked="f"/>
        </w:pict>
      </w:r>
    </w:p>
    <w:p w14:paraId="3750F80E" w14:textId="77777777" w:rsidR="002541AD" w:rsidRDefault="00901AA6">
      <w:r>
        <w:rPr>
          <w:rFonts w:ascii="宋体" w:eastAsia="宋体" w:hAnsi="宋体" w:cs="宋体"/>
        </w:rPr>
        <w:t xml:space="preserve">Selected Fact </w:t>
      </w:r>
    </w:p>
    <w:p w14:paraId="3750F80F" w14:textId="77777777" w:rsidR="002541AD" w:rsidRDefault="00901AA6">
      <w:r>
        <w:rPr>
          <w:rFonts w:ascii="monospace" w:eastAsia="monospace" w:hAnsi="monospace" w:cs="monospace"/>
          <w:noProof/>
        </w:rPr>
        <mc:AlternateContent>
          <mc:Choice Requires="wps">
            <w:drawing>
              <wp:inline distT="0" distB="0" distL="114300" distR="114300" wp14:anchorId="3750F8F9" wp14:editId="3750F8FA">
                <wp:extent cx="635" cy="0"/>
                <wp:effectExtent l="0" t="0" r="0" b="0"/>
                <wp:docPr id="82" name="矩形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iWY84BAgAAGgQAAA4AAAAAAAAA&#10;AQAgAAAAMwEAAGRycy9lMm9Eb2MueG1sUEsFBgAAAAAGAAYAWQEAAKYFAAAAAA==&#10;">
                <v:path/>
                <v:fill on="f" focussize="0,0"/>
                <v:stroke/>
                <v:imagedata o:title=""/>
                <o:lock v:ext="edit" aspectratio="t"/>
                <w10:wrap type="none"/>
                <w10:anchorlock/>
              </v:rect>
            </w:pict>
          </mc:Fallback>
        </mc:AlternateContent>
      </w:r>
    </w:p>
    <w:p w14:paraId="3750F810" w14:textId="77777777" w:rsidR="002541AD" w:rsidRDefault="00901AA6">
      <w:r>
        <w:rPr>
          <w:rFonts w:ascii="宋体" w:eastAsia="宋体" w:hAnsi="宋体" w:cs="宋体"/>
        </w:rPr>
        <w:t>Save</w:t>
      </w:r>
    </w:p>
    <w:p w14:paraId="3750F811" w14:textId="77777777" w:rsidR="002541AD" w:rsidRDefault="00901AA6">
      <w:r>
        <w:rPr>
          <w:rFonts w:ascii="宋体" w:eastAsia="宋体" w:hAnsi="宋体" w:cs="宋体"/>
        </w:rPr>
        <w:t>Reset</w:t>
      </w:r>
    </w:p>
    <w:p w14:paraId="3750F812" w14:textId="77777777" w:rsidR="002541AD" w:rsidRDefault="00901AA6">
      <w:r>
        <w:pict w14:anchorId="3750F8FB">
          <v:rect id="_x0000_i1075" style="width:415.3pt;height:1.5pt" o:hralign="center" o:hrstd="t" o:hr="t" fillcolor="#a0a0a0" stroked="f"/>
        </w:pict>
      </w:r>
    </w:p>
    <w:p w14:paraId="3750F813" w14:textId="77777777" w:rsidR="002541AD" w:rsidRDefault="00901AA6">
      <w:r>
        <w:rPr>
          <w:rFonts w:ascii="宋体" w:eastAsia="宋体" w:hAnsi="宋体" w:cs="宋体"/>
        </w:rPr>
        <w:t xml:space="preserve">Tag Shading (hover) </w:t>
      </w:r>
    </w:p>
    <w:p w14:paraId="3750F814" w14:textId="77777777" w:rsidR="002541AD" w:rsidRDefault="00901AA6">
      <w:r>
        <w:rPr>
          <w:rFonts w:ascii="monospace" w:eastAsia="monospace" w:hAnsi="monospace" w:cs="monospace"/>
          <w:noProof/>
        </w:rPr>
        <mc:AlternateContent>
          <mc:Choice Requires="wps">
            <w:drawing>
              <wp:inline distT="0" distB="0" distL="114300" distR="114300" wp14:anchorId="3750F8FC" wp14:editId="3750F8FD">
                <wp:extent cx="635" cy="0"/>
                <wp:effectExtent l="0" t="0" r="0" b="0"/>
                <wp:docPr id="74" name="矩形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0YVrcQACAAAaBAAADgAAAAAAAAAB&#10;ACAAAAAzAQAAZHJzL2Uyb0RvYy54bWxQSwUGAAAAAAYABgBZAQAApQUAAAAA&#10;">
                <v:path/>
                <v:fill on="f" focussize="0,0"/>
                <v:stroke/>
                <v:imagedata o:title=""/>
                <o:lock v:ext="edit" aspectratio="t"/>
                <w10:wrap type="none"/>
                <w10:anchorlock/>
              </v:rect>
            </w:pict>
          </mc:Fallback>
        </mc:AlternateContent>
      </w:r>
    </w:p>
    <w:p w14:paraId="3750F815" w14:textId="77777777" w:rsidR="002541AD" w:rsidRDefault="00901AA6">
      <w:r>
        <w:rPr>
          <w:rFonts w:ascii="宋体" w:eastAsia="宋体" w:hAnsi="宋体" w:cs="宋体"/>
        </w:rPr>
        <w:t>Save</w:t>
      </w:r>
    </w:p>
    <w:p w14:paraId="3750F816" w14:textId="77777777" w:rsidR="002541AD" w:rsidRDefault="00901AA6">
      <w:r>
        <w:rPr>
          <w:rFonts w:ascii="宋体" w:eastAsia="宋体" w:hAnsi="宋体" w:cs="宋体"/>
        </w:rPr>
        <w:t>Reset</w:t>
      </w:r>
    </w:p>
    <w:p w14:paraId="3750F817" w14:textId="77777777" w:rsidR="002541AD" w:rsidRDefault="00901AA6">
      <w:pPr>
        <w:pStyle w:val="Style5"/>
      </w:pPr>
      <w:r>
        <w:t>窗体底端</w:t>
      </w:r>
    </w:p>
    <w:p w14:paraId="3750F818" w14:textId="77777777" w:rsidR="002541AD" w:rsidRDefault="00901AA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750F8FE" wp14:editId="3750F8FF">
                <wp:extent cx="635" cy="0"/>
                <wp:effectExtent l="0" t="0" r="0" b="0"/>
                <wp:docPr id="75" name="矩形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m6F7AA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zvnzIGlif/7+fvvn1+MHKTOELCmoLtwGzM/DDde/EDm/FUPrlMfMZDGtEc5tnoUnA+4T9u2&#10;0eZ0Isy2Rf3dUX21TUyQ8+ItdSA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Gm6F7A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41AD" w14:paraId="3750F81A" w14:textId="77777777">
        <w:trPr>
          <w:tblCellSpacing w:w="15" w:type="dxa"/>
        </w:trPr>
        <w:tc>
          <w:tcPr>
            <w:tcW w:w="0" w:type="auto"/>
            <w:shd w:val="clear" w:color="auto" w:fill="auto"/>
            <w:vAlign w:val="center"/>
          </w:tcPr>
          <w:p w14:paraId="3750F819" w14:textId="77777777" w:rsidR="002541AD" w:rsidRDefault="002541AD">
            <w:pPr>
              <w:rPr>
                <w:rFonts w:ascii="宋体"/>
              </w:rPr>
            </w:pPr>
          </w:p>
        </w:tc>
      </w:tr>
    </w:tbl>
    <w:p w14:paraId="3750F81B" w14:textId="77777777" w:rsidR="002541AD" w:rsidRDefault="002541A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41AD" w14:paraId="3750F81D" w14:textId="77777777">
        <w:trPr>
          <w:tblCellSpacing w:w="15" w:type="dxa"/>
        </w:trPr>
        <w:tc>
          <w:tcPr>
            <w:tcW w:w="0" w:type="auto"/>
            <w:shd w:val="clear" w:color="auto" w:fill="auto"/>
            <w:vAlign w:val="center"/>
          </w:tcPr>
          <w:p w14:paraId="3750F81C" w14:textId="77777777" w:rsidR="002541AD" w:rsidRDefault="002541AD">
            <w:pPr>
              <w:rPr>
                <w:rFonts w:ascii="宋体"/>
              </w:rPr>
            </w:pPr>
          </w:p>
        </w:tc>
      </w:tr>
    </w:tbl>
    <w:p w14:paraId="3750F81E" w14:textId="77777777" w:rsidR="002541AD" w:rsidRDefault="002541A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41AD" w14:paraId="3750F820" w14:textId="77777777">
        <w:trPr>
          <w:tblCellSpacing w:w="15" w:type="dxa"/>
        </w:trPr>
        <w:tc>
          <w:tcPr>
            <w:tcW w:w="0" w:type="auto"/>
            <w:shd w:val="clear" w:color="auto" w:fill="auto"/>
            <w:vAlign w:val="center"/>
          </w:tcPr>
          <w:p w14:paraId="3750F81F" w14:textId="77777777" w:rsidR="002541AD" w:rsidRDefault="002541AD">
            <w:pPr>
              <w:rPr>
                <w:rFonts w:ascii="宋体"/>
              </w:rPr>
            </w:pPr>
          </w:p>
        </w:tc>
      </w:tr>
    </w:tbl>
    <w:p w14:paraId="3750F821" w14:textId="77777777" w:rsidR="002541AD" w:rsidRDefault="002541A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41AD" w14:paraId="3750F823" w14:textId="77777777">
        <w:trPr>
          <w:tblCellSpacing w:w="15" w:type="dxa"/>
        </w:trPr>
        <w:tc>
          <w:tcPr>
            <w:tcW w:w="0" w:type="auto"/>
            <w:shd w:val="clear" w:color="auto" w:fill="auto"/>
            <w:vAlign w:val="center"/>
          </w:tcPr>
          <w:p w14:paraId="3750F822" w14:textId="77777777" w:rsidR="002541AD" w:rsidRDefault="002541AD">
            <w:pPr>
              <w:rPr>
                <w:rFonts w:ascii="宋体"/>
              </w:rPr>
            </w:pPr>
          </w:p>
        </w:tc>
      </w:tr>
    </w:tbl>
    <w:p w14:paraId="3750F824" w14:textId="77777777" w:rsidR="002541AD" w:rsidRDefault="00901AA6">
      <w:r>
        <w:rPr>
          <w:rFonts w:ascii="宋体" w:eastAsia="宋体" w:hAnsi="宋体" w:cs="宋体"/>
        </w:rPr>
        <w:t xml:space="preserve">Previous Next </w:t>
      </w:r>
    </w:p>
    <w:p w14:paraId="3750F825" w14:textId="77777777" w:rsidR="002541AD" w:rsidRDefault="00901AA6">
      <w:pPr>
        <w:pStyle w:val="a3"/>
      </w:pPr>
      <w:r>
        <w:t xml:space="preserve">Nested Facts / </w:t>
      </w:r>
    </w:p>
    <w:p w14:paraId="3750F826" w14:textId="77777777" w:rsidR="002541AD" w:rsidRDefault="00901AA6">
      <w:r>
        <w:rPr>
          <w:rFonts w:ascii="宋体" w:eastAsia="宋体" w:hAnsi="宋体" w:cs="宋体"/>
        </w:rPr>
        <w:t xml:space="preserve">Previous Next </w:t>
      </w:r>
    </w:p>
    <w:p w14:paraId="3750F827" w14:textId="77777777" w:rsidR="002541AD" w:rsidRDefault="00901AA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750F900" wp14:editId="3750F901">
                <wp:extent cx="635" cy="0"/>
                <wp:effectExtent l="0" t="0" r="0" b="0"/>
                <wp:docPr id="76" name="矩形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AZUx5E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41AD" w14:paraId="3750F829" w14:textId="77777777">
        <w:trPr>
          <w:tblCellSpacing w:w="15" w:type="dxa"/>
        </w:trPr>
        <w:tc>
          <w:tcPr>
            <w:tcW w:w="0" w:type="auto"/>
            <w:shd w:val="clear" w:color="auto" w:fill="auto"/>
            <w:vAlign w:val="center"/>
          </w:tcPr>
          <w:p w14:paraId="3750F828" w14:textId="77777777" w:rsidR="002541AD" w:rsidRDefault="002541AD">
            <w:pPr>
              <w:rPr>
                <w:rFonts w:ascii="宋体"/>
              </w:rPr>
            </w:pPr>
          </w:p>
        </w:tc>
      </w:tr>
    </w:tbl>
    <w:p w14:paraId="3750F82A" w14:textId="77777777" w:rsidR="002541AD" w:rsidRDefault="002541A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41AD" w14:paraId="3750F82C" w14:textId="77777777">
        <w:trPr>
          <w:tblCellSpacing w:w="15" w:type="dxa"/>
        </w:trPr>
        <w:tc>
          <w:tcPr>
            <w:tcW w:w="0" w:type="auto"/>
            <w:shd w:val="clear" w:color="auto" w:fill="auto"/>
            <w:vAlign w:val="center"/>
          </w:tcPr>
          <w:p w14:paraId="3750F82B" w14:textId="77777777" w:rsidR="002541AD" w:rsidRDefault="002541AD">
            <w:pPr>
              <w:rPr>
                <w:rFonts w:ascii="宋体"/>
              </w:rPr>
            </w:pPr>
          </w:p>
        </w:tc>
      </w:tr>
    </w:tbl>
    <w:p w14:paraId="3750F82D" w14:textId="77777777" w:rsidR="002541AD" w:rsidRDefault="002541A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41AD" w14:paraId="3750F82F" w14:textId="77777777">
        <w:trPr>
          <w:tblCellSpacing w:w="15" w:type="dxa"/>
        </w:trPr>
        <w:tc>
          <w:tcPr>
            <w:tcW w:w="0" w:type="auto"/>
            <w:shd w:val="clear" w:color="auto" w:fill="auto"/>
            <w:vAlign w:val="center"/>
          </w:tcPr>
          <w:p w14:paraId="3750F82E" w14:textId="77777777" w:rsidR="002541AD" w:rsidRDefault="002541AD">
            <w:pPr>
              <w:rPr>
                <w:rFonts w:ascii="宋体"/>
              </w:rPr>
            </w:pPr>
          </w:p>
        </w:tc>
      </w:tr>
    </w:tbl>
    <w:p w14:paraId="3750F830" w14:textId="77777777" w:rsidR="002541AD" w:rsidRDefault="002541A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41AD" w14:paraId="3750F832" w14:textId="77777777">
        <w:trPr>
          <w:tblCellSpacing w:w="15" w:type="dxa"/>
        </w:trPr>
        <w:tc>
          <w:tcPr>
            <w:tcW w:w="0" w:type="auto"/>
            <w:shd w:val="clear" w:color="auto" w:fill="auto"/>
            <w:vAlign w:val="center"/>
          </w:tcPr>
          <w:p w14:paraId="3750F831" w14:textId="77777777" w:rsidR="002541AD" w:rsidRDefault="002541AD">
            <w:pPr>
              <w:rPr>
                <w:rFonts w:ascii="宋体"/>
              </w:rPr>
            </w:pPr>
          </w:p>
        </w:tc>
      </w:tr>
    </w:tbl>
    <w:p w14:paraId="3750F833" w14:textId="77777777" w:rsidR="002541AD" w:rsidRDefault="00901AA6">
      <w:r>
        <w:rPr>
          <w:rFonts w:ascii="宋体" w:eastAsia="宋体" w:hAnsi="宋体" w:cs="宋体"/>
        </w:rPr>
        <w:t xml:space="preserve">Previous Next </w:t>
      </w:r>
    </w:p>
    <w:p w14:paraId="3750F834" w14:textId="77777777" w:rsidR="002541AD" w:rsidRDefault="002541AD"/>
    <w:sectPr w:rsidR="002541AD">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10542" w14:textId="77777777" w:rsidR="00901AA6" w:rsidRDefault="00901AA6" w:rsidP="00901AA6">
      <w:r>
        <w:separator/>
      </w:r>
    </w:p>
  </w:endnote>
  <w:endnote w:type="continuationSeparator" w:id="0">
    <w:p w14:paraId="7CA93562" w14:textId="77777777" w:rsidR="00901AA6" w:rsidRDefault="00901AA6" w:rsidP="00901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AE962" w14:textId="77777777" w:rsidR="00901AA6" w:rsidRDefault="00901AA6" w:rsidP="00901AA6">
      <w:r>
        <w:separator/>
      </w:r>
    </w:p>
  </w:footnote>
  <w:footnote w:type="continuationSeparator" w:id="0">
    <w:p w14:paraId="1DF90750" w14:textId="77777777" w:rsidR="00901AA6" w:rsidRDefault="00901AA6" w:rsidP="00901A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EF7EE0C"/>
    <w:rsid w:val="FEF7EE0C"/>
    <w:rsid w:val="002541AD"/>
    <w:rsid w:val="00901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50D5C4"/>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901AA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01AA6"/>
    <w:rPr>
      <w:rFonts w:asciiTheme="minorEastAsia" w:hAnsiTheme="minorEastAsia" w:cs="Times New Roman"/>
      <w:sz w:val="18"/>
      <w:szCs w:val="18"/>
    </w:rPr>
  </w:style>
  <w:style w:type="paragraph" w:styleId="a8">
    <w:name w:val="footer"/>
    <w:basedOn w:val="a"/>
    <w:link w:val="a9"/>
    <w:rsid w:val="00901AA6"/>
    <w:pPr>
      <w:tabs>
        <w:tab w:val="center" w:pos="4153"/>
        <w:tab w:val="right" w:pos="8306"/>
      </w:tabs>
      <w:snapToGrid w:val="0"/>
    </w:pPr>
    <w:rPr>
      <w:sz w:val="18"/>
      <w:szCs w:val="18"/>
    </w:rPr>
  </w:style>
  <w:style w:type="character" w:customStyle="1" w:styleId="a9">
    <w:name w:val="页脚 字符"/>
    <w:basedOn w:val="a0"/>
    <w:link w:val="a8"/>
    <w:rsid w:val="00901AA6"/>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050863/000005086320000017/a0328202010qdocument-u.htm" TargetMode="External"/><Relationship Id="rId21" Type="http://schemas.openxmlformats.org/officeDocument/2006/relationships/hyperlink" Target="https://www.sec.gov/ix?doc=/Archives/edgar/data/0000050863/000005086320000017/a0328202010qdocument-u.htm" TargetMode="External"/><Relationship Id="rId42" Type="http://schemas.openxmlformats.org/officeDocument/2006/relationships/hyperlink" Target="https://www.sec.gov/ix?doc=/Archives/edgar/data/0000050863/000005086320000017/a0328202010qdocument-u.htm" TargetMode="External"/><Relationship Id="rId47" Type="http://schemas.openxmlformats.org/officeDocument/2006/relationships/hyperlink" Target="https://www.sec.gov/ix?doc=/Archives/edgar/data/0000050863/000005086320000017/a0328202010qdocument-u.htm" TargetMode="External"/><Relationship Id="rId63" Type="http://schemas.openxmlformats.org/officeDocument/2006/relationships/hyperlink" Target="https://www.sec.gov/ix?doc=/Archives/edgar/data/0000050863/000005086320000017/a0328202010qdocument-u.htm" TargetMode="External"/><Relationship Id="rId68" Type="http://schemas.openxmlformats.org/officeDocument/2006/relationships/hyperlink" Target="https://www.sec.gov/ix?doc=/Archives/edgar/data/0000050863/000005086320000017/a0328202010qdocument-u.htm" TargetMode="External"/><Relationship Id="rId84" Type="http://schemas.openxmlformats.org/officeDocument/2006/relationships/hyperlink" Target="https://www.sec.gov/ix?doc=/Archives/edgar/data/0000050863/000005086320000017/a0328202010qdocument-u.htm" TargetMode="External"/><Relationship Id="rId89" Type="http://schemas.openxmlformats.org/officeDocument/2006/relationships/hyperlink" Target="https://www.sec.gov/ix?doc=/Archives/edgar/data/0000050863/000005086320000017/a0328202010qdocument-u.htm" TargetMode="External"/><Relationship Id="rId16" Type="http://schemas.openxmlformats.org/officeDocument/2006/relationships/hyperlink" Target="https://www.sec.gov/ix?doc=/Archives/edgar/data/0000050863/000005086320000017/a0328202010qdocument-u.htm" TargetMode="External"/><Relationship Id="rId11" Type="http://schemas.openxmlformats.org/officeDocument/2006/relationships/hyperlink" Target="https://www.sec.gov/ix?doc=/Archives/edgar/data/0000050863/000005086320000017/a0328202010qdocument-u.htm" TargetMode="External"/><Relationship Id="rId32" Type="http://schemas.openxmlformats.org/officeDocument/2006/relationships/hyperlink" Target="https://www.sec.gov/ix?doc=/Archives/edgar/data/0000050863/000005086320000017/a0328202010qdocument-u.htm" TargetMode="External"/><Relationship Id="rId37" Type="http://schemas.openxmlformats.org/officeDocument/2006/relationships/hyperlink" Target="https://www.sec.gov/ix?doc=/Archives/edgar/data/0000050863/000005086320000017/a0328202010qdocument-u.htm" TargetMode="External"/><Relationship Id="rId53" Type="http://schemas.openxmlformats.org/officeDocument/2006/relationships/hyperlink" Target="https://www.sec.gov/ix?doc=/Archives/edgar/data/0000050863/000005086320000017/a0328202010qdocument-u.htm" TargetMode="External"/><Relationship Id="rId58" Type="http://schemas.openxmlformats.org/officeDocument/2006/relationships/hyperlink" Target="https://www.sec.gov/ix?doc=/Archives/edgar/data/0000050863/000005086320000017/a0328202010qdocument-u.htm" TargetMode="External"/><Relationship Id="rId74" Type="http://schemas.openxmlformats.org/officeDocument/2006/relationships/hyperlink" Target="http://www.sec.gov/Archives/edgar/data/50863/000119312519011545/d702759dex32.htm" TargetMode="External"/><Relationship Id="rId79" Type="http://schemas.openxmlformats.org/officeDocument/2006/relationships/hyperlink" Target="http://www.sec.gov/Archives/edgar/data/50863/000119312520012078/d815779dex101.htm" TargetMode="External"/><Relationship Id="rId102" Type="http://schemas.openxmlformats.org/officeDocument/2006/relationships/hyperlink" Target="https://www.sec.gov/ix?doc=/Archives/edgar/data/0000050863/000005086320000017/a0328202010qdocument-u.htm" TargetMode="External"/><Relationship Id="rId5" Type="http://schemas.openxmlformats.org/officeDocument/2006/relationships/endnotes" Target="endnotes.xml"/><Relationship Id="rId90" Type="http://schemas.openxmlformats.org/officeDocument/2006/relationships/hyperlink" Target="https://www.sec.gov/ix?doc=/Archives/edgar/data/0000050863/000005086320000017/a0328202010qdocument-u.htm" TargetMode="External"/><Relationship Id="rId95" Type="http://schemas.openxmlformats.org/officeDocument/2006/relationships/hyperlink" Target="https://www.sec.gov/ix?doc=/Archives/edgar/data/0000050863/000005086320000017/a0328202010qdocument-u.htm" TargetMode="External"/><Relationship Id="rId22" Type="http://schemas.openxmlformats.org/officeDocument/2006/relationships/hyperlink" Target="https://www.sec.gov/ix?doc=/Archives/edgar/data/0000050863/000005086320000017/a0328202010qdocument-u.htm" TargetMode="External"/><Relationship Id="rId27" Type="http://schemas.openxmlformats.org/officeDocument/2006/relationships/hyperlink" Target="https://www.sec.gov/ix?doc=/Archives/edgar/data/0000050863/000005086320000017/a0328202010qdocument-u.htm" TargetMode="External"/><Relationship Id="rId43" Type="http://schemas.openxmlformats.org/officeDocument/2006/relationships/hyperlink" Target="https://www.sec.gov/ix?doc=/Archives/edgar/data/0000050863/000005086320000017/a0328202010qdocument-u.htm" TargetMode="External"/><Relationship Id="rId48" Type="http://schemas.openxmlformats.org/officeDocument/2006/relationships/hyperlink" Target="https://www.sec.gov/ix?doc=/Archives/edgar/data/0000050863/000005086320000017/a0328202010qdocument-u.htm" TargetMode="External"/><Relationship Id="rId64" Type="http://schemas.openxmlformats.org/officeDocument/2006/relationships/hyperlink" Target="https://www.sec.gov/ix?doc=/Archives/edgar/data/0000050863/000005086320000017/a0328202010qdocument-u.htm" TargetMode="External"/><Relationship Id="rId69" Type="http://schemas.openxmlformats.org/officeDocument/2006/relationships/hyperlink" Target="https://www.sec.gov/ix?doc=/Archives/edgar/data/0000050863/000005086320000017/a0328202010qdocument-u.htm" TargetMode="External"/><Relationship Id="rId80" Type="http://schemas.openxmlformats.org/officeDocument/2006/relationships/hyperlink" Target="https://www.sec.gov/Archives/edgar/data/0000050863/000005086320000017/a03282020q1-ex103.htm" TargetMode="External"/><Relationship Id="rId85" Type="http://schemas.openxmlformats.org/officeDocument/2006/relationships/hyperlink" Target="https://www.sec.gov/ix?doc=/Archives/edgar/data/0000050863/000005086320000017/a0328202010qdocument-u.htm" TargetMode="External"/><Relationship Id="rId12" Type="http://schemas.openxmlformats.org/officeDocument/2006/relationships/hyperlink" Target="https://www.sec.gov/ix?doc=/Archives/edgar/data/0000050863/000005086320000017/a0328202010qdocument-u.htm" TargetMode="External"/><Relationship Id="rId17" Type="http://schemas.openxmlformats.org/officeDocument/2006/relationships/hyperlink" Target="https://www.sec.gov/ix?doc=/Archives/edgar/data/0000050863/000005086320000017/a0328202010qdocument-u.htm" TargetMode="External"/><Relationship Id="rId33" Type="http://schemas.openxmlformats.org/officeDocument/2006/relationships/hyperlink" Target="https://www.sec.gov/ix?doc=/Archives/edgar/data/0000050863/000005086320000017/a0328202010qdocument-u.htm" TargetMode="External"/><Relationship Id="rId38" Type="http://schemas.openxmlformats.org/officeDocument/2006/relationships/hyperlink" Target="https://www.sec.gov/ix?doc=/Archives/edgar/data/0000050863/000005086320000017/a0328202010qdocument-u.htm" TargetMode="External"/><Relationship Id="rId59" Type="http://schemas.openxmlformats.org/officeDocument/2006/relationships/hyperlink" Target="https://www.sec.gov/ix?doc=/Archives/edgar/data/0000050863/000005086320000017/a0328202010qdocument-u.htm" TargetMode="External"/><Relationship Id="rId103" Type="http://schemas.openxmlformats.org/officeDocument/2006/relationships/hyperlink" Target="https://www.sec.gov/ix?doc=/Archives/edgar/data/0000050863/000005086320000017/a0328202010qdocument-u.htm" TargetMode="External"/><Relationship Id="rId20" Type="http://schemas.openxmlformats.org/officeDocument/2006/relationships/hyperlink" Target="https://www.sec.gov/ix?doc=/Archives/edgar/data/0000050863/000005086320000017/a0328202010qdocument-u.htm" TargetMode="External"/><Relationship Id="rId41" Type="http://schemas.openxmlformats.org/officeDocument/2006/relationships/hyperlink" Target="https://www.sec.gov/ix?doc=/Archives/edgar/data/0000050863/000005086320000017/a0328202010qdocument-u.htm" TargetMode="External"/><Relationship Id="rId54" Type="http://schemas.openxmlformats.org/officeDocument/2006/relationships/hyperlink" Target="https://www.sec.gov/ix?doc=/Archives/edgar/data/0000050863/000005086320000017/a0328202010qdocument-u.htm" TargetMode="External"/><Relationship Id="rId62" Type="http://schemas.openxmlformats.org/officeDocument/2006/relationships/hyperlink" Target="https://www.sec.gov/ix?doc=/Archives/edgar/data/0000050863/000005086320000017/a0328202010qdocument-u.htm" TargetMode="External"/><Relationship Id="rId70" Type="http://schemas.openxmlformats.org/officeDocument/2006/relationships/hyperlink" Target="https://www.sec.gov/ix?doc=/Archives/edgar/data/0000050863/000005086320000017/a0328202010qdocument-u.htm" TargetMode="External"/><Relationship Id="rId75" Type="http://schemas.openxmlformats.org/officeDocument/2006/relationships/hyperlink" Target="http://www.sec.gov/Archives/edgar/data/50863/000119312520035758/d878309dex41.htm" TargetMode="External"/><Relationship Id="rId83" Type="http://schemas.openxmlformats.org/officeDocument/2006/relationships/hyperlink" Target="https://www.sec.gov/Archives/edgar/data/0000050863/000005086320000017/a03282020ex321-use.htm" TargetMode="External"/><Relationship Id="rId88" Type="http://schemas.openxmlformats.org/officeDocument/2006/relationships/hyperlink" Target="https://www.sec.gov/ix?doc=/Archives/edgar/data/0000050863/000005086320000017/a0328202010qdocument-u.htm" TargetMode="External"/><Relationship Id="rId91" Type="http://schemas.openxmlformats.org/officeDocument/2006/relationships/hyperlink" Target="https://www.sec.gov/ix?doc=/Archives/edgar/data/0000050863/000005086320000017/a0328202010qdocument-u.htm" TargetMode="External"/><Relationship Id="rId96" Type="http://schemas.openxmlformats.org/officeDocument/2006/relationships/hyperlink" Target="https://www.sec.gov/ix?doc=/Archives/edgar/data/0000050863/000005086320000017/a0328202010qdocument-u.htm" TargetMode="External"/><Relationship Id="rId1" Type="http://schemas.openxmlformats.org/officeDocument/2006/relationships/styles" Target="styles.xml"/><Relationship Id="rId15" Type="http://schemas.openxmlformats.org/officeDocument/2006/relationships/hyperlink" Target="https://www.sec.gov/ix?doc=/Archives/edgar/data/0000050863/000005086320000017/a0328202010qdocument-u.htm" TargetMode="External"/><Relationship Id="rId23" Type="http://schemas.openxmlformats.org/officeDocument/2006/relationships/hyperlink" Target="https://www.sec.gov/ix?doc=/Archives/edgar/data/0000050863/000005086320000017/a0328202010qdocument-u.htm" TargetMode="External"/><Relationship Id="rId28" Type="http://schemas.openxmlformats.org/officeDocument/2006/relationships/hyperlink" Target="https://www.sec.gov/ix?doc=/Archives/edgar/data/0000050863/000005086320000017/a0328202010qdocument-u.htm" TargetMode="External"/><Relationship Id="rId36" Type="http://schemas.openxmlformats.org/officeDocument/2006/relationships/hyperlink" Target="https://www.sec.gov/ix?doc=/Archives/edgar/data/0000050863/000005086320000017/a0328202010qdocument-u.htm" TargetMode="External"/><Relationship Id="rId49" Type="http://schemas.openxmlformats.org/officeDocument/2006/relationships/hyperlink" Target="https://www.sec.gov/ix?doc=/Archives/edgar/data/0000050863/000005086320000017/a0328202010qdocument-u.htm" TargetMode="External"/><Relationship Id="rId57" Type="http://schemas.openxmlformats.org/officeDocument/2006/relationships/hyperlink" Target="https://www.sec.gov/ix?doc=/Archives/edgar/data/0000050863/000005086320000017/a0328202010qdocument-u.htm" TargetMode="External"/><Relationship Id="rId10" Type="http://schemas.openxmlformats.org/officeDocument/2006/relationships/hyperlink" Target="https://www.sec.gov/ix?doc=/Archives/edgar/data/0000050863/000005086320000017/a0328202010qdocument-u.htm" TargetMode="External"/><Relationship Id="rId31" Type="http://schemas.openxmlformats.org/officeDocument/2006/relationships/hyperlink" Target="https://www.sec.gov/ix?doc=/Archives/edgar/data/0000050863/000005086320000017/a0328202010qdocument-u.htm" TargetMode="External"/><Relationship Id="rId44" Type="http://schemas.openxmlformats.org/officeDocument/2006/relationships/hyperlink" Target="https://www.sec.gov/ix?doc=/Archives/edgar/data/0000050863/000005086320000017/a0328202010qdocument-u.htm" TargetMode="External"/><Relationship Id="rId52" Type="http://schemas.openxmlformats.org/officeDocument/2006/relationships/hyperlink" Target="https://www.sec.gov/ix?doc=/Archives/edgar/data/0000050863/000005086320000017/a0328202010qdocument-u.htm" TargetMode="External"/><Relationship Id="rId60" Type="http://schemas.openxmlformats.org/officeDocument/2006/relationships/hyperlink" Target="https://www.sec.gov/ix?doc=/Archives/edgar/data/0000050863/000005086320000017/a0328202010qdocument-u.htm" TargetMode="External"/><Relationship Id="rId65" Type="http://schemas.openxmlformats.org/officeDocument/2006/relationships/hyperlink" Target="https://www.sec.gov/ix?doc=/Archives/edgar/data/0000050863/000005086320000017/a0328202010qdocument-u.htm" TargetMode="External"/><Relationship Id="rId73" Type="http://schemas.openxmlformats.org/officeDocument/2006/relationships/hyperlink" Target="http://www.sec.gov/Archives/edgar/data/50863/000005086306000102/edgar8kex3.txt" TargetMode="External"/><Relationship Id="rId78" Type="http://schemas.openxmlformats.org/officeDocument/2006/relationships/hyperlink" Target="https://www.sec.gov/Archives/edgar/data/0000050863/000005086320000017/a03282020q1-ex101.htm" TargetMode="External"/><Relationship Id="rId81" Type="http://schemas.openxmlformats.org/officeDocument/2006/relationships/hyperlink" Target="https://www.sec.gov/Archives/edgar/data/0000050863/000005086320000017/a03282020ex311-use.htm" TargetMode="External"/><Relationship Id="rId86" Type="http://schemas.openxmlformats.org/officeDocument/2006/relationships/hyperlink" Target="https://www.sec.gov/ix?doc=/Archives/edgar/data/0000050863/000005086320000017/a0328202010qdocument-u.htm" TargetMode="External"/><Relationship Id="rId94" Type="http://schemas.openxmlformats.org/officeDocument/2006/relationships/hyperlink" Target="https://www.sec.gov/ix?doc=/Archives/edgar/data/0000050863/000005086320000017/a0328202010qdocument-u.htm" TargetMode="External"/><Relationship Id="rId99" Type="http://schemas.openxmlformats.org/officeDocument/2006/relationships/hyperlink" Target="https://www.sec.gov/ix?doc=/Archives/edgar/data/0000050863/000005086320000017/a0328202010qdocument-u.htm" TargetMode="External"/><Relationship Id="rId101" Type="http://schemas.openxmlformats.org/officeDocument/2006/relationships/hyperlink" Target="https://www.sec.gov/ix?doc=/Archives/edgar/data/0000050863/000005086320000017/a0328202010qdocument-u.htm" TargetMode="External"/><Relationship Id="rId4" Type="http://schemas.openxmlformats.org/officeDocument/2006/relationships/footnotes" Target="footnotes.xml"/><Relationship Id="rId9" Type="http://schemas.openxmlformats.org/officeDocument/2006/relationships/hyperlink" Target="https://www.sec.gov/ix?doc=/Archives/edgar/data/0000050863/000005086320000017/a0328202010qdocument-u.htm" TargetMode="External"/><Relationship Id="rId13" Type="http://schemas.openxmlformats.org/officeDocument/2006/relationships/hyperlink" Target="https://www.sec.gov/ix?doc=/Archives/edgar/data/0000050863/000005086320000017/a0328202010qdocument-u.htm" TargetMode="External"/><Relationship Id="rId18" Type="http://schemas.openxmlformats.org/officeDocument/2006/relationships/hyperlink" Target="https://www.sec.gov/ix?doc=/Archives/edgar/data/0000050863/000005086320000017/a0328202010qdocument-u.htm" TargetMode="External"/><Relationship Id="rId39" Type="http://schemas.openxmlformats.org/officeDocument/2006/relationships/hyperlink" Target="https://www.sec.gov/ix?doc=/Archives/edgar/data/0000050863/000005086320000017/a0328202010qdocument-u.htm" TargetMode="External"/><Relationship Id="rId34" Type="http://schemas.openxmlformats.org/officeDocument/2006/relationships/hyperlink" Target="https://www.sec.gov/ix?doc=/Archives/edgar/data/0000050863/000005086320000017/a0328202010qdocument-u.htm" TargetMode="External"/><Relationship Id="rId50" Type="http://schemas.openxmlformats.org/officeDocument/2006/relationships/hyperlink" Target="https://www.sec.gov/ix?doc=/Archives/edgar/data/0000050863/000005086320000017/a0328202010qdocument-u.htm" TargetMode="External"/><Relationship Id="rId55" Type="http://schemas.openxmlformats.org/officeDocument/2006/relationships/hyperlink" Target="https://www.sec.gov/ix?doc=/Archives/edgar/data/0000050863/000005086320000017/a0328202010qdocument-u.htm" TargetMode="External"/><Relationship Id="rId76" Type="http://schemas.openxmlformats.org/officeDocument/2006/relationships/hyperlink" Target="http://www.sec.gov/Archives/edgar/data/50863/000119312520035758/d878309dex42.htm" TargetMode="External"/><Relationship Id="rId97" Type="http://schemas.openxmlformats.org/officeDocument/2006/relationships/hyperlink" Target="https://www.sec.gov/ix?doc=/Archives/edgar/data/0000050863/000005086320000017/a0328202010qdocument-u.htm" TargetMode="External"/><Relationship Id="rId104" Type="http://schemas.openxmlformats.org/officeDocument/2006/relationships/fontTable" Target="fontTable.xml"/><Relationship Id="rId7" Type="http://schemas.openxmlformats.org/officeDocument/2006/relationships/hyperlink" Target="https://www.sec.gov/ix?doc=/Archives/edgar/data/0000050863/000005086320000017/a0328202010qdocument-u.htm" TargetMode="External"/><Relationship Id="rId71" Type="http://schemas.openxmlformats.org/officeDocument/2006/relationships/hyperlink" Target="https://www.sec.gov/ix?doc=/Archives/edgar/data/0000050863/000005086320000017/a0328202010qdocument-u.htm" TargetMode="External"/><Relationship Id="rId92" Type="http://schemas.openxmlformats.org/officeDocument/2006/relationships/hyperlink" Target="https://www.sec.gov/ix?doc=/Archives/edgar/data/0000050863/000005086320000017/a0328202010qdocument-u.htm" TargetMode="External"/><Relationship Id="rId2" Type="http://schemas.openxmlformats.org/officeDocument/2006/relationships/settings" Target="settings.xml"/><Relationship Id="rId29" Type="http://schemas.openxmlformats.org/officeDocument/2006/relationships/hyperlink" Target="https://www.sec.gov/ix?doc=/Archives/edgar/data/0000050863/000005086320000017/a0328202010qdocument-u.htm" TargetMode="External"/><Relationship Id="rId24" Type="http://schemas.openxmlformats.org/officeDocument/2006/relationships/hyperlink" Target="https://www.sec.gov/ix?doc=/Archives/edgar/data/0000050863/000005086320000017/a0328202010qdocument-u.htm" TargetMode="External"/><Relationship Id="rId40" Type="http://schemas.openxmlformats.org/officeDocument/2006/relationships/hyperlink" Target="https://www.sec.gov/ix?doc=/Archives/edgar/data/0000050863/000005086320000017/a0328202010qdocument-u.htm" TargetMode="External"/><Relationship Id="rId45" Type="http://schemas.openxmlformats.org/officeDocument/2006/relationships/hyperlink" Target="https://www.sec.gov/ix?doc=/Archives/edgar/data/0000050863/000005086320000017/a0328202010qdocument-u.htm" TargetMode="External"/><Relationship Id="rId66" Type="http://schemas.openxmlformats.org/officeDocument/2006/relationships/hyperlink" Target="https://www.sec.gov/ix?doc=/Archives/edgar/data/0000050863/000005086320000017/a0328202010qdocument-u.htm" TargetMode="External"/><Relationship Id="rId87" Type="http://schemas.openxmlformats.org/officeDocument/2006/relationships/hyperlink" Target="https://www.sec.gov/ix?doc=/Archives/edgar/data/0000050863/000005086320000017/a0328202010qdocument-u.htm" TargetMode="External"/><Relationship Id="rId61" Type="http://schemas.openxmlformats.org/officeDocument/2006/relationships/hyperlink" Target="https://www.sec.gov/ix?doc=/Archives/edgar/data/0000050863/000005086320000017/a0328202010qdocument-u.htm" TargetMode="External"/><Relationship Id="rId82" Type="http://schemas.openxmlformats.org/officeDocument/2006/relationships/hyperlink" Target="https://www.sec.gov/Archives/edgar/data/0000050863/000005086320000017/a03282020ex312-use.htm" TargetMode="External"/><Relationship Id="rId19" Type="http://schemas.openxmlformats.org/officeDocument/2006/relationships/hyperlink" Target="https://www.sec.gov/ix?doc=/Archives/edgar/data/0000050863/000005086320000017/a0328202010qdocument-u.htm" TargetMode="External"/><Relationship Id="rId14" Type="http://schemas.openxmlformats.org/officeDocument/2006/relationships/hyperlink" Target="https://www.sec.gov/ix?doc=/Archives/edgar/data/0000050863/000005086320000017/a0328202010qdocument-u.htm" TargetMode="External"/><Relationship Id="rId30" Type="http://schemas.openxmlformats.org/officeDocument/2006/relationships/hyperlink" Target="https://www.sec.gov/ix?doc=/Archives/edgar/data/0000050863/000005086320000017/a0328202010qdocument-u.htm" TargetMode="External"/><Relationship Id="rId35" Type="http://schemas.openxmlformats.org/officeDocument/2006/relationships/hyperlink" Target="https://www.sec.gov/ix?doc=/Archives/edgar/data/0000050863/000005086320000017/a0328202010qdocument-u.htm" TargetMode="External"/><Relationship Id="rId56" Type="http://schemas.openxmlformats.org/officeDocument/2006/relationships/hyperlink" Target="https://www.sec.gov/ix?doc=/Archives/edgar/data/0000050863/000005086320000017/a0328202010qdocument-u.htm" TargetMode="External"/><Relationship Id="rId77" Type="http://schemas.openxmlformats.org/officeDocument/2006/relationships/hyperlink" Target="http://www.sec.gov/Archives/edgar/data/50863/000119312520085163/d851110dex41.htm" TargetMode="External"/><Relationship Id="rId100" Type="http://schemas.openxmlformats.org/officeDocument/2006/relationships/hyperlink" Target="https://www.sec.gov/ix?doc=/Archives/edgar/data/0000050863/000005086320000017/a0328202010qdocument-u.htm" TargetMode="External"/><Relationship Id="rId105" Type="http://schemas.openxmlformats.org/officeDocument/2006/relationships/theme" Target="theme/theme1.xml"/><Relationship Id="rId8" Type="http://schemas.openxmlformats.org/officeDocument/2006/relationships/hyperlink" Target="https://www.sec.gov/ix?doc=/Archives/edgar/data/0000050863/000005086320000017/a0328202010qdocument-u.htm" TargetMode="External"/><Relationship Id="rId51" Type="http://schemas.openxmlformats.org/officeDocument/2006/relationships/hyperlink" Target="https://www.sec.gov/ix?doc=/Archives/edgar/data/0000050863/000005086320000017/a0328202010qdocument-u.htm" TargetMode="External"/><Relationship Id="rId72" Type="http://schemas.openxmlformats.org/officeDocument/2006/relationships/hyperlink" Target="https://www.sec.gov/ix?doc=/Archives/edgar/data/0000050863/000005086320000017/a0328202010qdocument-u.htm" TargetMode="External"/><Relationship Id="rId93" Type="http://schemas.openxmlformats.org/officeDocument/2006/relationships/hyperlink" Target="https://www.sec.gov/ix?doc=/Archives/edgar/data/0000050863/000005086320000017/a0328202010qdocument-u.htm" TargetMode="External"/><Relationship Id="rId98" Type="http://schemas.openxmlformats.org/officeDocument/2006/relationships/hyperlink" Target="https://www.sec.gov/ix?doc=/Archives/edgar/data/0000050863/000005086320000017/a0328202010qdocument-u.htm" TargetMode="External"/><Relationship Id="rId3" Type="http://schemas.openxmlformats.org/officeDocument/2006/relationships/webSettings" Target="webSettings.xml"/><Relationship Id="rId25" Type="http://schemas.openxmlformats.org/officeDocument/2006/relationships/hyperlink" Target="https://www.sec.gov/ix?doc=/Archives/edgar/data/0000050863/000005086320000017/a0328202010qdocument-u.htm" TargetMode="External"/><Relationship Id="rId46" Type="http://schemas.openxmlformats.org/officeDocument/2006/relationships/hyperlink" Target="https://www.sec.gov/ix?doc=/Archives/edgar/data/0000050863/000005086320000017/a0328202010qdocument-u.htm" TargetMode="External"/><Relationship Id="rId67" Type="http://schemas.openxmlformats.org/officeDocument/2006/relationships/hyperlink" Target="https://www.sec.gov/ix?doc=/Archives/edgar/data/0000050863/000005086320000017/a0328202010qdocument-u.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29839</Words>
  <Characters>170084</Characters>
  <Application>Microsoft Office Word</Application>
  <DocSecurity>0</DocSecurity>
  <Lines>1417</Lines>
  <Paragraphs>399</Paragraphs>
  <ScaleCrop>false</ScaleCrop>
  <Company/>
  <LinksUpToDate>false</LinksUpToDate>
  <CharactersWithSpaces>199524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2023-02-11T20:07:00Z</dcterms:created>
  <dcterms:modified xsi:type="dcterms:W3CDTF">2023-02-13T11:17:00Z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CE2DE559ADAEE9CA1385E7630B364500</vt:lpwstr>
  </property>
</Properties>
</file>